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4712" w14:textId="5681BCE9" w:rsidR="000A1F33" w:rsidRDefault="00FD6713" w:rsidP="00FD6713">
      <w:pPr>
        <w:jc w:val="center"/>
      </w:pPr>
      <w:r>
        <w:rPr>
          <w:rFonts w:ascii="Arial" w:hAnsi="Arial" w:cs="Arial"/>
          <w:b/>
          <w:bCs/>
          <w:sz w:val="28"/>
          <w:szCs w:val="28"/>
        </w:rPr>
        <w:t>DAVID STREET SCHOOL</w:t>
      </w:r>
      <w:r w:rsidR="003D2B71">
        <w:rPr>
          <w:rFonts w:ascii="Arial" w:hAnsi="Arial" w:cs="Arial"/>
          <w:b/>
          <w:bCs/>
          <w:sz w:val="28"/>
          <w:szCs w:val="28"/>
        </w:rPr>
        <w:t xml:space="preserve"> </w:t>
      </w:r>
      <w:r w:rsidR="0069102B">
        <w:rPr>
          <w:rFonts w:ascii="Arial" w:hAnsi="Arial" w:cs="Arial"/>
          <w:b/>
          <w:bCs/>
          <w:sz w:val="28"/>
          <w:szCs w:val="28"/>
        </w:rPr>
        <w:t>(</w:t>
      </w:r>
      <w:r w:rsidR="00906F1F">
        <w:rPr>
          <w:rFonts w:ascii="Arial" w:hAnsi="Arial" w:cs="Arial"/>
          <w:b/>
          <w:bCs/>
          <w:sz w:val="28"/>
          <w:szCs w:val="28"/>
        </w:rPr>
        <w:t>1709</w:t>
      </w:r>
      <w:r w:rsidR="0069102B">
        <w:rPr>
          <w:rFonts w:ascii="Arial" w:hAnsi="Arial" w:cs="Arial"/>
          <w:b/>
          <w:bCs/>
          <w:sz w:val="28"/>
          <w:szCs w:val="28"/>
        </w:rPr>
        <w:t>)</w:t>
      </w:r>
    </w:p>
    <w:p w14:paraId="5CCF61DE" w14:textId="77777777" w:rsidR="000A1F33" w:rsidRDefault="0069102B" w:rsidP="00FD6713">
      <w:pPr>
        <w:jc w:val="center"/>
        <w:rPr>
          <w:rFonts w:ascii="Arial" w:hAnsi="Arial" w:cs="Arial"/>
          <w:b/>
          <w:bCs/>
          <w:sz w:val="28"/>
          <w:szCs w:val="28"/>
        </w:rPr>
      </w:pPr>
      <w:r>
        <w:rPr>
          <w:rFonts w:ascii="Arial" w:hAnsi="Arial" w:cs="Arial"/>
          <w:b/>
          <w:bCs/>
          <w:sz w:val="28"/>
          <w:szCs w:val="28"/>
        </w:rPr>
        <w:t>Enrolment Scheme</w:t>
      </w:r>
    </w:p>
    <w:p w14:paraId="1AEA63CF" w14:textId="77777777" w:rsidR="000A1F33" w:rsidRDefault="000A1F33">
      <w:pPr>
        <w:jc w:val="center"/>
      </w:pPr>
    </w:p>
    <w:p w14:paraId="2D03ADBA" w14:textId="5EAAFED1" w:rsidR="00EA02CD" w:rsidRPr="00EA02CD" w:rsidRDefault="00413C83" w:rsidP="00EA02CD">
      <w:pPr>
        <w:jc w:val="center"/>
      </w:pPr>
      <w:r>
        <w:rPr>
          <w:rFonts w:ascii="Arial" w:hAnsi="Arial" w:cs="Arial"/>
          <w:sz w:val="22"/>
          <w:szCs w:val="22"/>
          <w:lang w:val="en-GB"/>
        </w:rPr>
        <w:t xml:space="preserve">Effective from </w:t>
      </w:r>
      <w:r w:rsidR="0066642B" w:rsidRPr="0066642B">
        <w:rPr>
          <w:rFonts w:ascii="Arial" w:hAnsi="Arial" w:cs="Arial"/>
          <w:sz w:val="22"/>
          <w:szCs w:val="22"/>
          <w:highlight w:val="yellow"/>
          <w:lang w:val="en-GB"/>
        </w:rPr>
        <w:t>Date</w:t>
      </w:r>
    </w:p>
    <w:p w14:paraId="012C94E3" w14:textId="77777777" w:rsidR="00EA02CD" w:rsidRDefault="00EA02CD">
      <w:pPr>
        <w:spacing w:before="240" w:after="240"/>
        <w:rPr>
          <w:rFonts w:ascii="Arial" w:hAnsi="Arial" w:cs="Arial"/>
          <w:sz w:val="22"/>
          <w:szCs w:val="22"/>
          <w:lang w:val="en-AU"/>
        </w:rPr>
      </w:pPr>
    </w:p>
    <w:p w14:paraId="0768EC5F" w14:textId="77777777" w:rsidR="0036089B" w:rsidRDefault="0036089B" w:rsidP="0036089B">
      <w:pPr>
        <w:shd w:val="clear" w:color="auto" w:fill="FFFFFF"/>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The development and operation of enrolment schemes is undertaken under authority granted under Schedule 20 of the Education and Training Act 2020, which describes the basis on which the Secretary’s powers in relation to enrolment schemes will be exercised.</w:t>
      </w:r>
    </w:p>
    <w:p w14:paraId="2A55ACB6" w14:textId="77777777" w:rsidR="000A1F33" w:rsidRDefault="0069102B">
      <w:pPr>
        <w:spacing w:before="240" w:after="240"/>
        <w:jc w:val="both"/>
      </w:pPr>
      <w:r>
        <w:rPr>
          <w:rFonts w:ascii="Arial" w:hAnsi="Arial" w:cs="Arial"/>
          <w:b/>
          <w:bCs/>
          <w:u w:val="single"/>
          <w:lang w:val="en-GB"/>
        </w:rPr>
        <w:t>Home Zone</w:t>
      </w:r>
    </w:p>
    <w:p w14:paraId="33CF81D8" w14:textId="1FC3918A" w:rsidR="00413C83" w:rsidRDefault="00EA02CD" w:rsidP="00EA02CD">
      <w:pPr>
        <w:spacing w:before="240" w:after="240"/>
        <w:ind w:right="827"/>
        <w:jc w:val="both"/>
        <w:rPr>
          <w:rFonts w:ascii="Arial" w:hAnsi="Arial" w:cs="Arial"/>
          <w:b/>
          <w:bCs/>
          <w:i/>
          <w:iCs/>
          <w:sz w:val="22"/>
          <w:szCs w:val="22"/>
          <w:lang w:val="en-GB"/>
        </w:rPr>
      </w:pPr>
      <w:r w:rsidRPr="00EA02CD">
        <w:rPr>
          <w:rFonts w:ascii="Arial" w:hAnsi="Arial" w:cs="Arial"/>
          <w:b/>
          <w:bCs/>
          <w:sz w:val="22"/>
          <w:szCs w:val="22"/>
          <w:lang w:val="en-GB"/>
        </w:rPr>
        <w:t>All students who live within the home zone described below shall be eligible to enrol at the school.</w:t>
      </w:r>
      <w:r w:rsidRPr="00EA02CD">
        <w:rPr>
          <w:rFonts w:ascii="Arial" w:hAnsi="Arial" w:cs="Arial"/>
          <w:b/>
          <w:bCs/>
          <w:i/>
          <w:iCs/>
          <w:sz w:val="22"/>
          <w:szCs w:val="22"/>
          <w:lang w:val="en-GB"/>
        </w:rPr>
        <w:t xml:space="preserve"> </w:t>
      </w:r>
    </w:p>
    <w:p w14:paraId="7C297483" w14:textId="11A30D88" w:rsidR="00943FA3" w:rsidRDefault="00943FA3" w:rsidP="00943FA3">
      <w:pPr>
        <w:spacing w:before="240" w:after="240"/>
        <w:ind w:left="993" w:right="1110"/>
        <w:rPr>
          <w:rFonts w:ascii="Arial" w:hAnsi="Arial" w:cs="Arial"/>
          <w:i/>
          <w:iCs/>
          <w:sz w:val="22"/>
          <w:szCs w:val="22"/>
        </w:rPr>
      </w:pPr>
      <w:r>
        <w:rPr>
          <w:rFonts w:ascii="Arial" w:hAnsi="Arial" w:cs="Arial"/>
          <w:i/>
          <w:iCs/>
          <w:sz w:val="22"/>
          <w:szCs w:val="22"/>
        </w:rPr>
        <w:t xml:space="preserve">The home zone boundary begins at </w:t>
      </w:r>
      <w:r w:rsidR="00D12C10">
        <w:rPr>
          <w:rFonts w:ascii="Arial" w:hAnsi="Arial" w:cs="Arial"/>
          <w:i/>
          <w:iCs/>
          <w:sz w:val="22"/>
          <w:szCs w:val="22"/>
        </w:rPr>
        <w:t xml:space="preserve">177 Tauhei Road (addresses </w:t>
      </w:r>
      <w:r>
        <w:rPr>
          <w:rFonts w:ascii="Arial" w:hAnsi="Arial" w:cs="Arial"/>
          <w:i/>
          <w:iCs/>
          <w:sz w:val="22"/>
          <w:szCs w:val="22"/>
        </w:rPr>
        <w:t>above</w:t>
      </w:r>
      <w:r w:rsidR="00D12C10">
        <w:rPr>
          <w:rFonts w:ascii="Arial" w:hAnsi="Arial" w:cs="Arial"/>
          <w:i/>
          <w:iCs/>
          <w:sz w:val="22"/>
          <w:szCs w:val="22"/>
        </w:rPr>
        <w:t xml:space="preserve"> 177 Tauhei Road are </w:t>
      </w:r>
      <w:r>
        <w:rPr>
          <w:rFonts w:ascii="Arial" w:hAnsi="Arial" w:cs="Arial"/>
          <w:i/>
          <w:iCs/>
          <w:sz w:val="22"/>
          <w:szCs w:val="22"/>
        </w:rPr>
        <w:t xml:space="preserve">not </w:t>
      </w:r>
      <w:r w:rsidR="00D12C10">
        <w:rPr>
          <w:rFonts w:ascii="Arial" w:hAnsi="Arial" w:cs="Arial"/>
          <w:i/>
          <w:iCs/>
          <w:sz w:val="22"/>
          <w:szCs w:val="22"/>
        </w:rPr>
        <w:t>included in zone)</w:t>
      </w:r>
      <w:r>
        <w:rPr>
          <w:rFonts w:ascii="Arial" w:hAnsi="Arial" w:cs="Arial"/>
          <w:i/>
          <w:iCs/>
          <w:sz w:val="22"/>
          <w:szCs w:val="22"/>
        </w:rPr>
        <w:t xml:space="preserve">, travels </w:t>
      </w:r>
      <w:r w:rsidR="007D0BB6">
        <w:rPr>
          <w:rFonts w:ascii="Arial" w:hAnsi="Arial" w:cs="Arial"/>
          <w:i/>
          <w:iCs/>
          <w:sz w:val="22"/>
          <w:szCs w:val="22"/>
        </w:rPr>
        <w:t>northeast</w:t>
      </w:r>
      <w:r w:rsidR="004F3AF3">
        <w:rPr>
          <w:rFonts w:ascii="Arial" w:hAnsi="Arial" w:cs="Arial"/>
          <w:i/>
          <w:iCs/>
          <w:sz w:val="22"/>
          <w:szCs w:val="22"/>
        </w:rPr>
        <w:t xml:space="preserve"> to 74</w:t>
      </w:r>
      <w:r w:rsidR="001869B3">
        <w:rPr>
          <w:rFonts w:ascii="Arial" w:hAnsi="Arial" w:cs="Arial"/>
          <w:i/>
          <w:iCs/>
          <w:sz w:val="22"/>
          <w:szCs w:val="22"/>
        </w:rPr>
        <w:t>6</w:t>
      </w:r>
      <w:r w:rsidR="004F3AF3">
        <w:rPr>
          <w:rFonts w:ascii="Arial" w:hAnsi="Arial" w:cs="Arial"/>
          <w:i/>
          <w:iCs/>
          <w:sz w:val="22"/>
          <w:szCs w:val="22"/>
        </w:rPr>
        <w:t xml:space="preserve"> Morrinsville-Tahuna Road</w:t>
      </w:r>
      <w:r w:rsidR="001869B3">
        <w:rPr>
          <w:rFonts w:ascii="Arial" w:hAnsi="Arial" w:cs="Arial"/>
          <w:i/>
          <w:iCs/>
          <w:sz w:val="22"/>
          <w:szCs w:val="22"/>
        </w:rPr>
        <w:t xml:space="preserve"> (</w:t>
      </w:r>
      <w:r>
        <w:rPr>
          <w:rFonts w:ascii="Arial" w:hAnsi="Arial" w:cs="Arial"/>
          <w:i/>
          <w:iCs/>
          <w:sz w:val="22"/>
          <w:szCs w:val="22"/>
        </w:rPr>
        <w:t xml:space="preserve">addresses above </w:t>
      </w:r>
      <w:r>
        <w:rPr>
          <w:rFonts w:ascii="Arial" w:hAnsi="Arial" w:cs="Arial"/>
          <w:i/>
          <w:iCs/>
          <w:sz w:val="22"/>
          <w:szCs w:val="22"/>
        </w:rPr>
        <w:t>746 Morrinsville-Tahuna Road</w:t>
      </w:r>
      <w:r>
        <w:rPr>
          <w:rFonts w:ascii="Arial" w:hAnsi="Arial" w:cs="Arial"/>
          <w:i/>
          <w:iCs/>
          <w:sz w:val="22"/>
          <w:szCs w:val="22"/>
        </w:rPr>
        <w:t xml:space="preserve"> are not included in zone) and cont</w:t>
      </w:r>
      <w:r w:rsidR="0052058C">
        <w:rPr>
          <w:rFonts w:ascii="Arial" w:hAnsi="Arial" w:cs="Arial"/>
          <w:i/>
          <w:iCs/>
          <w:sz w:val="22"/>
          <w:szCs w:val="22"/>
        </w:rPr>
        <w:t xml:space="preserve">inues east to the Haumia Road </w:t>
      </w:r>
      <w:r w:rsidR="00DA7D83">
        <w:rPr>
          <w:rFonts w:ascii="Arial" w:hAnsi="Arial" w:cs="Arial"/>
          <w:i/>
          <w:iCs/>
          <w:sz w:val="22"/>
          <w:szCs w:val="22"/>
        </w:rPr>
        <w:t>–</w:t>
      </w:r>
      <w:r w:rsidR="0052058C">
        <w:rPr>
          <w:rFonts w:ascii="Arial" w:hAnsi="Arial" w:cs="Arial"/>
          <w:i/>
          <w:iCs/>
          <w:sz w:val="22"/>
          <w:szCs w:val="22"/>
        </w:rPr>
        <w:t xml:space="preserve"> </w:t>
      </w:r>
      <w:r w:rsidR="00DA7D83">
        <w:rPr>
          <w:rFonts w:ascii="Arial" w:hAnsi="Arial" w:cs="Arial"/>
          <w:i/>
          <w:iCs/>
          <w:sz w:val="22"/>
          <w:szCs w:val="22"/>
        </w:rPr>
        <w:t xml:space="preserve">Mangateparu Loop Road intersection. Only </w:t>
      </w:r>
      <w:r w:rsidR="00DA7D83">
        <w:rPr>
          <w:rFonts w:ascii="Arial" w:hAnsi="Arial" w:cs="Arial"/>
          <w:i/>
          <w:iCs/>
          <w:sz w:val="22"/>
          <w:szCs w:val="22"/>
        </w:rPr>
        <w:t>Mangateparu Loop Road</w:t>
      </w:r>
      <w:r w:rsidR="00DA7D83">
        <w:rPr>
          <w:rFonts w:ascii="Arial" w:hAnsi="Arial" w:cs="Arial"/>
          <w:i/>
          <w:iCs/>
          <w:sz w:val="22"/>
          <w:szCs w:val="22"/>
        </w:rPr>
        <w:t xml:space="preserve"> addresses south of the </w:t>
      </w:r>
      <w:r w:rsidR="00DA7D83">
        <w:rPr>
          <w:rFonts w:ascii="Arial" w:hAnsi="Arial" w:cs="Arial"/>
          <w:i/>
          <w:iCs/>
          <w:sz w:val="22"/>
          <w:szCs w:val="22"/>
        </w:rPr>
        <w:t>Haumia Road</w:t>
      </w:r>
      <w:r w:rsidR="00DA7D83">
        <w:rPr>
          <w:rFonts w:ascii="Arial" w:hAnsi="Arial" w:cs="Arial"/>
          <w:i/>
          <w:iCs/>
          <w:sz w:val="22"/>
          <w:szCs w:val="22"/>
        </w:rPr>
        <w:t xml:space="preserve"> intersection are in-zone.</w:t>
      </w:r>
    </w:p>
    <w:p w14:paraId="643804ED" w14:textId="77777777" w:rsidR="00DA7D83" w:rsidRDefault="00DA7D83" w:rsidP="00943FA3">
      <w:pPr>
        <w:spacing w:before="240" w:after="240"/>
        <w:ind w:left="993" w:right="1110"/>
        <w:rPr>
          <w:rFonts w:ascii="Arial" w:hAnsi="Arial" w:cs="Arial"/>
          <w:i/>
          <w:iCs/>
          <w:sz w:val="22"/>
          <w:szCs w:val="22"/>
        </w:rPr>
      </w:pPr>
      <w:r>
        <w:rPr>
          <w:rFonts w:ascii="Arial" w:hAnsi="Arial" w:cs="Arial"/>
          <w:i/>
          <w:iCs/>
          <w:sz w:val="22"/>
          <w:szCs w:val="22"/>
        </w:rPr>
        <w:t xml:space="preserve">From </w:t>
      </w:r>
      <w:r w:rsidRPr="00DA7D83">
        <w:rPr>
          <w:rFonts w:ascii="Arial" w:hAnsi="Arial" w:cs="Arial"/>
          <w:i/>
          <w:iCs/>
          <w:sz w:val="22"/>
          <w:szCs w:val="22"/>
        </w:rPr>
        <w:t>the Haumia Road – Mangateparu Loop Road intersection</w:t>
      </w:r>
      <w:r>
        <w:rPr>
          <w:rFonts w:ascii="Arial" w:hAnsi="Arial" w:cs="Arial"/>
          <w:i/>
          <w:iCs/>
          <w:sz w:val="22"/>
          <w:szCs w:val="22"/>
        </w:rPr>
        <w:t xml:space="preserve"> the boundary continues east, including Haumia Road addresses to 86 Haumia Road (inclusive), to the Piako River.</w:t>
      </w:r>
    </w:p>
    <w:p w14:paraId="6535CA9C" w14:textId="0A4D2FF3" w:rsidR="008F6FF0" w:rsidRDefault="00DA7D83" w:rsidP="00DA7D83">
      <w:pPr>
        <w:spacing w:before="240" w:after="240"/>
        <w:ind w:left="993" w:right="1110"/>
        <w:rPr>
          <w:rFonts w:ascii="Arial" w:hAnsi="Arial" w:cs="Arial"/>
          <w:i/>
          <w:iCs/>
          <w:sz w:val="22"/>
          <w:szCs w:val="22"/>
        </w:rPr>
      </w:pPr>
      <w:r>
        <w:rPr>
          <w:rFonts w:ascii="Arial" w:hAnsi="Arial" w:cs="Arial"/>
          <w:i/>
          <w:iCs/>
          <w:sz w:val="22"/>
          <w:szCs w:val="22"/>
        </w:rPr>
        <w:t xml:space="preserve">From where the Piako River is crossed by </w:t>
      </w:r>
      <w:r w:rsidRPr="00DA7D83">
        <w:rPr>
          <w:rFonts w:ascii="Arial" w:hAnsi="Arial" w:cs="Arial"/>
          <w:i/>
          <w:iCs/>
          <w:sz w:val="22"/>
          <w:szCs w:val="22"/>
        </w:rPr>
        <w:t>Haumia Road</w:t>
      </w:r>
      <w:r>
        <w:rPr>
          <w:rFonts w:ascii="Arial" w:hAnsi="Arial" w:cs="Arial"/>
          <w:i/>
          <w:iCs/>
          <w:sz w:val="22"/>
          <w:szCs w:val="22"/>
        </w:rPr>
        <w:t xml:space="preserve"> the boundary travels </w:t>
      </w:r>
      <w:proofErr w:type="gramStart"/>
      <w:r>
        <w:rPr>
          <w:rFonts w:ascii="Arial" w:hAnsi="Arial" w:cs="Arial"/>
          <w:i/>
          <w:iCs/>
          <w:sz w:val="22"/>
          <w:szCs w:val="22"/>
        </w:rPr>
        <w:t xml:space="preserve">south  </w:t>
      </w:r>
      <w:r w:rsidR="006618A0">
        <w:rPr>
          <w:rFonts w:ascii="Arial" w:hAnsi="Arial" w:cs="Arial"/>
          <w:i/>
          <w:iCs/>
          <w:sz w:val="22"/>
          <w:szCs w:val="22"/>
        </w:rPr>
        <w:t>until</w:t>
      </w:r>
      <w:proofErr w:type="gramEnd"/>
      <w:r w:rsidR="006618A0">
        <w:rPr>
          <w:rFonts w:ascii="Arial" w:hAnsi="Arial" w:cs="Arial"/>
          <w:i/>
          <w:iCs/>
          <w:sz w:val="22"/>
          <w:szCs w:val="22"/>
        </w:rPr>
        <w:t xml:space="preserve"> meeting Golf Course Road. </w:t>
      </w:r>
      <w:r w:rsidR="008F6FF0">
        <w:rPr>
          <w:rFonts w:ascii="Arial" w:hAnsi="Arial" w:cs="Arial"/>
          <w:i/>
          <w:iCs/>
          <w:sz w:val="22"/>
          <w:szCs w:val="22"/>
        </w:rPr>
        <w:t xml:space="preserve">All addresses on Golf Course Road are included in zone. </w:t>
      </w:r>
    </w:p>
    <w:p w14:paraId="0E066DD9" w14:textId="5B252F9D" w:rsidR="00A91F5D" w:rsidRDefault="00DA7D83" w:rsidP="00DA7D83">
      <w:pPr>
        <w:spacing w:before="240" w:after="240"/>
        <w:ind w:left="993" w:right="1110"/>
        <w:rPr>
          <w:rFonts w:ascii="Arial" w:hAnsi="Arial" w:cs="Arial"/>
          <w:i/>
          <w:iCs/>
          <w:sz w:val="22"/>
          <w:szCs w:val="22"/>
        </w:rPr>
      </w:pPr>
      <w:r>
        <w:rPr>
          <w:rFonts w:ascii="Arial" w:hAnsi="Arial" w:cs="Arial"/>
          <w:i/>
          <w:iCs/>
          <w:sz w:val="22"/>
          <w:szCs w:val="22"/>
        </w:rPr>
        <w:t>From</w:t>
      </w:r>
      <w:r>
        <w:rPr>
          <w:rFonts w:ascii="Arial" w:hAnsi="Arial" w:cs="Arial"/>
          <w:i/>
          <w:iCs/>
          <w:sz w:val="22"/>
          <w:szCs w:val="22"/>
        </w:rPr>
        <w:t xml:space="preserve"> the Fairway Drive, Coronation Road</w:t>
      </w:r>
      <w:r>
        <w:rPr>
          <w:rFonts w:ascii="Arial" w:hAnsi="Arial" w:cs="Arial"/>
          <w:i/>
          <w:iCs/>
          <w:sz w:val="22"/>
          <w:szCs w:val="22"/>
        </w:rPr>
        <w:t xml:space="preserve">, </w:t>
      </w:r>
      <w:r>
        <w:rPr>
          <w:rFonts w:ascii="Arial" w:hAnsi="Arial" w:cs="Arial"/>
          <w:i/>
          <w:iCs/>
          <w:sz w:val="22"/>
          <w:szCs w:val="22"/>
        </w:rPr>
        <w:t xml:space="preserve">Seales </w:t>
      </w:r>
      <w:proofErr w:type="gramStart"/>
      <w:r>
        <w:rPr>
          <w:rFonts w:ascii="Arial" w:hAnsi="Arial" w:cs="Arial"/>
          <w:i/>
          <w:iCs/>
          <w:sz w:val="22"/>
          <w:szCs w:val="22"/>
        </w:rPr>
        <w:t>Road</w:t>
      </w:r>
      <w:proofErr w:type="gramEnd"/>
      <w:r>
        <w:rPr>
          <w:rFonts w:ascii="Arial" w:hAnsi="Arial" w:cs="Arial"/>
          <w:i/>
          <w:iCs/>
          <w:sz w:val="22"/>
          <w:szCs w:val="22"/>
        </w:rPr>
        <w:t xml:space="preserve"> and Golf Course Road</w:t>
      </w:r>
      <w:r>
        <w:rPr>
          <w:rFonts w:ascii="Arial" w:hAnsi="Arial" w:cs="Arial"/>
          <w:i/>
          <w:iCs/>
          <w:sz w:val="22"/>
          <w:szCs w:val="22"/>
        </w:rPr>
        <w:t xml:space="preserve"> intersection</w:t>
      </w:r>
      <w:r>
        <w:rPr>
          <w:rFonts w:ascii="Arial" w:hAnsi="Arial" w:cs="Arial"/>
          <w:i/>
          <w:iCs/>
          <w:sz w:val="22"/>
          <w:szCs w:val="22"/>
        </w:rPr>
        <w:t xml:space="preserve"> the boundary extends</w:t>
      </w:r>
      <w:r w:rsidR="008F6FF0">
        <w:rPr>
          <w:rFonts w:ascii="Arial" w:hAnsi="Arial" w:cs="Arial"/>
          <w:i/>
          <w:iCs/>
          <w:sz w:val="22"/>
          <w:szCs w:val="22"/>
        </w:rPr>
        <w:t xml:space="preserve"> west</w:t>
      </w:r>
      <w:r w:rsidR="00EF450D">
        <w:rPr>
          <w:rFonts w:ascii="Arial" w:hAnsi="Arial" w:cs="Arial"/>
          <w:i/>
          <w:iCs/>
          <w:sz w:val="22"/>
          <w:szCs w:val="22"/>
        </w:rPr>
        <w:t xml:space="preserve"> down Coronation Road</w:t>
      </w:r>
      <w:r w:rsidR="008F6FF0">
        <w:rPr>
          <w:rFonts w:ascii="Arial" w:hAnsi="Arial" w:cs="Arial"/>
          <w:i/>
          <w:iCs/>
          <w:sz w:val="22"/>
          <w:szCs w:val="22"/>
        </w:rPr>
        <w:t>.</w:t>
      </w:r>
      <w:r w:rsidR="00EF450D">
        <w:rPr>
          <w:rFonts w:ascii="Arial" w:hAnsi="Arial" w:cs="Arial"/>
          <w:i/>
          <w:iCs/>
          <w:sz w:val="22"/>
          <w:szCs w:val="22"/>
        </w:rPr>
        <w:t xml:space="preserve"> Addresses on Seales Road and </w:t>
      </w:r>
      <w:r w:rsidR="00F40670">
        <w:rPr>
          <w:rFonts w:ascii="Arial" w:hAnsi="Arial" w:cs="Arial"/>
          <w:i/>
          <w:iCs/>
          <w:sz w:val="22"/>
          <w:szCs w:val="22"/>
        </w:rPr>
        <w:t xml:space="preserve">all </w:t>
      </w:r>
      <w:r w:rsidR="00EF450D">
        <w:rPr>
          <w:rFonts w:ascii="Arial" w:hAnsi="Arial" w:cs="Arial"/>
          <w:i/>
          <w:iCs/>
          <w:sz w:val="22"/>
          <w:szCs w:val="22"/>
        </w:rPr>
        <w:t xml:space="preserve">even numbered addresses on Coronation Road are not </w:t>
      </w:r>
      <w:r>
        <w:rPr>
          <w:rFonts w:ascii="Arial" w:hAnsi="Arial" w:cs="Arial"/>
          <w:i/>
          <w:iCs/>
          <w:sz w:val="22"/>
          <w:szCs w:val="22"/>
        </w:rPr>
        <w:t>in-</w:t>
      </w:r>
      <w:r w:rsidR="00EF450D">
        <w:rPr>
          <w:rFonts w:ascii="Arial" w:hAnsi="Arial" w:cs="Arial"/>
          <w:i/>
          <w:iCs/>
          <w:sz w:val="22"/>
          <w:szCs w:val="22"/>
        </w:rPr>
        <w:t>zone.</w:t>
      </w:r>
      <w:r w:rsidR="002A4D0E">
        <w:rPr>
          <w:rFonts w:ascii="Arial" w:hAnsi="Arial" w:cs="Arial"/>
          <w:i/>
          <w:iCs/>
          <w:sz w:val="22"/>
          <w:szCs w:val="22"/>
        </w:rPr>
        <w:t xml:space="preserve"> All odd numbered addresses on Coronation Road are included in zone. </w:t>
      </w:r>
    </w:p>
    <w:p w14:paraId="5444FD02" w14:textId="75AB0CF1" w:rsidR="00DA7D83" w:rsidRDefault="00DA7D83" w:rsidP="00DA7D83">
      <w:pPr>
        <w:spacing w:before="240" w:after="240"/>
        <w:ind w:left="993" w:right="1110"/>
        <w:jc w:val="both"/>
        <w:rPr>
          <w:rFonts w:ascii="Arial" w:hAnsi="Arial" w:cs="Arial"/>
          <w:i/>
          <w:iCs/>
          <w:sz w:val="22"/>
          <w:szCs w:val="22"/>
        </w:rPr>
      </w:pPr>
      <w:r>
        <w:rPr>
          <w:rFonts w:ascii="Arial" w:hAnsi="Arial" w:cs="Arial"/>
          <w:i/>
          <w:iCs/>
          <w:sz w:val="22"/>
          <w:szCs w:val="22"/>
        </w:rPr>
        <w:t>U</w:t>
      </w:r>
      <w:r w:rsidR="002A4D0E">
        <w:rPr>
          <w:rFonts w:ascii="Arial" w:hAnsi="Arial" w:cs="Arial"/>
          <w:i/>
          <w:iCs/>
          <w:sz w:val="22"/>
          <w:szCs w:val="22"/>
        </w:rPr>
        <w:t>pon reaching the Studholme Street and Coronation Road intersection</w:t>
      </w:r>
      <w:r>
        <w:rPr>
          <w:rFonts w:ascii="Arial" w:hAnsi="Arial" w:cs="Arial"/>
          <w:i/>
          <w:iCs/>
          <w:sz w:val="22"/>
          <w:szCs w:val="22"/>
        </w:rPr>
        <w:t xml:space="preserve"> to zone travels north up Studholme Street (including only even-numbered addresses between </w:t>
      </w:r>
      <w:r w:rsidRPr="00DA7D83">
        <w:rPr>
          <w:rFonts w:ascii="Arial" w:hAnsi="Arial" w:cs="Arial"/>
          <w:i/>
          <w:iCs/>
          <w:sz w:val="22"/>
          <w:szCs w:val="22"/>
        </w:rPr>
        <w:t>Coronation Road</w:t>
      </w:r>
      <w:r>
        <w:rPr>
          <w:rFonts w:ascii="Arial" w:hAnsi="Arial" w:cs="Arial"/>
          <w:i/>
          <w:iCs/>
          <w:sz w:val="22"/>
          <w:szCs w:val="22"/>
        </w:rPr>
        <w:t xml:space="preserve"> and Snell Street, to the intersection of </w:t>
      </w:r>
      <w:r>
        <w:rPr>
          <w:rFonts w:ascii="Arial" w:hAnsi="Arial" w:cs="Arial"/>
          <w:i/>
          <w:iCs/>
          <w:sz w:val="22"/>
          <w:szCs w:val="22"/>
        </w:rPr>
        <w:t>Studholme Street</w:t>
      </w:r>
      <w:r>
        <w:rPr>
          <w:rFonts w:ascii="Arial" w:hAnsi="Arial" w:cs="Arial"/>
          <w:i/>
          <w:iCs/>
          <w:sz w:val="22"/>
          <w:szCs w:val="22"/>
        </w:rPr>
        <w:t xml:space="preserve"> and Snell Street.</w:t>
      </w:r>
    </w:p>
    <w:p w14:paraId="07C841C8" w14:textId="3C9EE14C" w:rsidR="001052F7" w:rsidRDefault="00DA7D83" w:rsidP="006A4F3D">
      <w:pPr>
        <w:spacing w:before="240" w:after="240"/>
        <w:ind w:left="993" w:right="1110"/>
        <w:jc w:val="both"/>
        <w:rPr>
          <w:rFonts w:ascii="Arial" w:hAnsi="Arial" w:cs="Arial"/>
          <w:i/>
          <w:iCs/>
          <w:sz w:val="22"/>
          <w:szCs w:val="22"/>
        </w:rPr>
      </w:pPr>
      <w:r>
        <w:rPr>
          <w:rFonts w:ascii="Arial" w:hAnsi="Arial" w:cs="Arial"/>
          <w:i/>
          <w:iCs/>
          <w:sz w:val="22"/>
          <w:szCs w:val="22"/>
        </w:rPr>
        <w:t>The zone then extends down Snell Street including only eve</w:t>
      </w:r>
      <w:r w:rsidR="006A4F3D">
        <w:rPr>
          <w:rFonts w:ascii="Arial" w:hAnsi="Arial" w:cs="Arial"/>
          <w:i/>
          <w:iCs/>
          <w:sz w:val="22"/>
          <w:szCs w:val="22"/>
        </w:rPr>
        <w:t>n numbered addresses (</w:t>
      </w:r>
      <w:r w:rsidR="001052F7">
        <w:rPr>
          <w:rFonts w:ascii="Arial" w:hAnsi="Arial" w:cs="Arial"/>
          <w:i/>
          <w:iCs/>
          <w:sz w:val="22"/>
          <w:szCs w:val="22"/>
        </w:rPr>
        <w:t>odd numbered addresses</w:t>
      </w:r>
      <w:r w:rsidR="006A4F3D">
        <w:rPr>
          <w:rFonts w:ascii="Arial" w:hAnsi="Arial" w:cs="Arial"/>
          <w:i/>
          <w:iCs/>
          <w:sz w:val="22"/>
          <w:szCs w:val="22"/>
        </w:rPr>
        <w:t xml:space="preserve"> </w:t>
      </w:r>
      <w:r w:rsidR="001052F7">
        <w:rPr>
          <w:rFonts w:ascii="Arial" w:hAnsi="Arial" w:cs="Arial"/>
          <w:i/>
          <w:iCs/>
          <w:sz w:val="22"/>
          <w:szCs w:val="22"/>
        </w:rPr>
        <w:t>are not in zone</w:t>
      </w:r>
      <w:r w:rsidR="006A4F3D">
        <w:rPr>
          <w:rFonts w:ascii="Arial" w:hAnsi="Arial" w:cs="Arial"/>
          <w:i/>
          <w:iCs/>
          <w:sz w:val="22"/>
          <w:szCs w:val="22"/>
        </w:rPr>
        <w:t xml:space="preserve">) as far as </w:t>
      </w:r>
      <w:r w:rsidR="001052F7">
        <w:rPr>
          <w:rFonts w:ascii="Arial" w:hAnsi="Arial" w:cs="Arial"/>
          <w:i/>
          <w:iCs/>
          <w:sz w:val="22"/>
          <w:szCs w:val="22"/>
        </w:rPr>
        <w:t>5</w:t>
      </w:r>
      <w:r w:rsidR="006470FD">
        <w:rPr>
          <w:rFonts w:ascii="Arial" w:hAnsi="Arial" w:cs="Arial"/>
          <w:i/>
          <w:iCs/>
          <w:sz w:val="22"/>
          <w:szCs w:val="22"/>
        </w:rPr>
        <w:t>2</w:t>
      </w:r>
      <w:r w:rsidR="001052F7">
        <w:rPr>
          <w:rFonts w:ascii="Arial" w:hAnsi="Arial" w:cs="Arial"/>
          <w:i/>
          <w:iCs/>
          <w:sz w:val="22"/>
          <w:szCs w:val="22"/>
        </w:rPr>
        <w:t xml:space="preserve"> Snell Street</w:t>
      </w:r>
      <w:r w:rsidR="006A4F3D">
        <w:rPr>
          <w:rFonts w:ascii="Arial" w:hAnsi="Arial" w:cs="Arial"/>
          <w:i/>
          <w:iCs/>
          <w:sz w:val="22"/>
          <w:szCs w:val="22"/>
        </w:rPr>
        <w:t xml:space="preserve"> (numbers </w:t>
      </w:r>
      <w:r w:rsidR="005B377A">
        <w:rPr>
          <w:rFonts w:ascii="Arial" w:hAnsi="Arial" w:cs="Arial"/>
          <w:i/>
          <w:iCs/>
          <w:sz w:val="22"/>
          <w:szCs w:val="22"/>
        </w:rPr>
        <w:t>60 Snell Street</w:t>
      </w:r>
      <w:r w:rsidR="006A4F3D">
        <w:rPr>
          <w:rFonts w:ascii="Arial" w:hAnsi="Arial" w:cs="Arial"/>
          <w:i/>
          <w:iCs/>
          <w:sz w:val="22"/>
          <w:szCs w:val="22"/>
        </w:rPr>
        <w:t xml:space="preserve"> and above are</w:t>
      </w:r>
      <w:r w:rsidR="005B377A">
        <w:rPr>
          <w:rFonts w:ascii="Arial" w:hAnsi="Arial" w:cs="Arial"/>
          <w:i/>
          <w:iCs/>
          <w:sz w:val="22"/>
          <w:szCs w:val="22"/>
        </w:rPr>
        <w:t xml:space="preserve"> not in zone</w:t>
      </w:r>
      <w:r w:rsidR="001052F7">
        <w:rPr>
          <w:rFonts w:ascii="Arial" w:hAnsi="Arial" w:cs="Arial"/>
          <w:i/>
          <w:iCs/>
          <w:sz w:val="22"/>
          <w:szCs w:val="22"/>
        </w:rPr>
        <w:t>).</w:t>
      </w:r>
    </w:p>
    <w:p w14:paraId="3930FC5F" w14:textId="77777777" w:rsidR="006A4F3D" w:rsidRDefault="004B66C8" w:rsidP="006A4F3D">
      <w:pPr>
        <w:spacing w:before="240" w:after="240"/>
        <w:ind w:left="993" w:right="1110"/>
        <w:jc w:val="both"/>
        <w:rPr>
          <w:rFonts w:ascii="Arial" w:hAnsi="Arial" w:cs="Arial"/>
          <w:i/>
          <w:iCs/>
          <w:sz w:val="22"/>
          <w:szCs w:val="22"/>
        </w:rPr>
      </w:pPr>
      <w:r>
        <w:rPr>
          <w:rFonts w:ascii="Arial" w:hAnsi="Arial" w:cs="Arial"/>
          <w:i/>
          <w:iCs/>
          <w:sz w:val="22"/>
          <w:szCs w:val="22"/>
        </w:rPr>
        <w:t xml:space="preserve">The zone travels northwest to </w:t>
      </w:r>
      <w:r w:rsidR="006A4F3D">
        <w:rPr>
          <w:rFonts w:ascii="Arial" w:hAnsi="Arial" w:cs="Arial"/>
          <w:i/>
          <w:iCs/>
          <w:sz w:val="22"/>
          <w:szCs w:val="22"/>
        </w:rPr>
        <w:t xml:space="preserve">include </w:t>
      </w:r>
      <w:r>
        <w:rPr>
          <w:rFonts w:ascii="Arial" w:hAnsi="Arial" w:cs="Arial"/>
          <w:i/>
          <w:iCs/>
          <w:sz w:val="22"/>
          <w:szCs w:val="22"/>
        </w:rPr>
        <w:t>Broad Oaks Road</w:t>
      </w:r>
      <w:r w:rsidR="006A4F3D">
        <w:rPr>
          <w:rFonts w:ascii="Arial" w:hAnsi="Arial" w:cs="Arial"/>
          <w:i/>
          <w:iCs/>
          <w:sz w:val="22"/>
          <w:szCs w:val="22"/>
        </w:rPr>
        <w:t xml:space="preserve">, Oakridge Place and Sunridge Park Roads and then west to the </w:t>
      </w:r>
      <w:r w:rsidR="006A4F3D">
        <w:rPr>
          <w:rFonts w:ascii="Arial" w:hAnsi="Arial" w:cs="Arial"/>
          <w:i/>
          <w:iCs/>
          <w:sz w:val="22"/>
          <w:szCs w:val="22"/>
        </w:rPr>
        <w:t>Woodlands Road and Matuku Road</w:t>
      </w:r>
      <w:r w:rsidR="006A4F3D">
        <w:rPr>
          <w:rFonts w:ascii="Arial" w:hAnsi="Arial" w:cs="Arial"/>
          <w:i/>
          <w:iCs/>
          <w:sz w:val="22"/>
          <w:szCs w:val="22"/>
        </w:rPr>
        <w:t xml:space="preserve"> intersection (</w:t>
      </w:r>
      <w:r w:rsidR="006A4F3D">
        <w:rPr>
          <w:rFonts w:ascii="Arial" w:hAnsi="Arial" w:cs="Arial"/>
          <w:i/>
          <w:iCs/>
          <w:sz w:val="22"/>
          <w:szCs w:val="22"/>
        </w:rPr>
        <w:t>Woodlands Road and Matuku Road</w:t>
      </w:r>
      <w:r w:rsidR="006A4F3D">
        <w:rPr>
          <w:rFonts w:ascii="Arial" w:hAnsi="Arial" w:cs="Arial"/>
          <w:i/>
          <w:iCs/>
          <w:sz w:val="22"/>
          <w:szCs w:val="22"/>
        </w:rPr>
        <w:t xml:space="preserve"> are not in-zone). Grayden Road and Hangawera Road addresses up to 432 Hangawera Road are included in-zone.</w:t>
      </w:r>
    </w:p>
    <w:p w14:paraId="0EBA083E" w14:textId="4AD69670" w:rsidR="006A4F3D" w:rsidRDefault="006A4F3D" w:rsidP="006A4F3D">
      <w:pPr>
        <w:spacing w:before="240" w:after="240"/>
        <w:ind w:left="993" w:right="1110"/>
        <w:jc w:val="both"/>
        <w:rPr>
          <w:rFonts w:ascii="Arial" w:hAnsi="Arial" w:cs="Arial"/>
          <w:i/>
          <w:iCs/>
          <w:sz w:val="22"/>
          <w:szCs w:val="22"/>
        </w:rPr>
      </w:pPr>
      <w:r>
        <w:rPr>
          <w:rFonts w:ascii="Arial" w:hAnsi="Arial" w:cs="Arial"/>
          <w:i/>
          <w:iCs/>
          <w:sz w:val="22"/>
          <w:szCs w:val="22"/>
        </w:rPr>
        <w:t xml:space="preserve">From 432 </w:t>
      </w:r>
      <w:r>
        <w:rPr>
          <w:rFonts w:ascii="Arial" w:hAnsi="Arial" w:cs="Arial"/>
          <w:i/>
          <w:iCs/>
          <w:sz w:val="22"/>
          <w:szCs w:val="22"/>
        </w:rPr>
        <w:t>Hangawera Road</w:t>
      </w:r>
      <w:r>
        <w:rPr>
          <w:rFonts w:ascii="Arial" w:hAnsi="Arial" w:cs="Arial"/>
          <w:i/>
          <w:iCs/>
          <w:sz w:val="22"/>
          <w:szCs w:val="22"/>
        </w:rPr>
        <w:t xml:space="preserve"> the boundary extends north, including Te Mimi Road, to 177 Tauhei Road, where the zone began.</w:t>
      </w:r>
    </w:p>
    <w:p w14:paraId="3C1B3918" w14:textId="5BC65C0A" w:rsidR="000A1F33" w:rsidRPr="007F202C" w:rsidRDefault="0069102B" w:rsidP="007F202C">
      <w:pPr>
        <w:spacing w:before="240" w:after="240"/>
        <w:ind w:right="1110"/>
        <w:jc w:val="both"/>
        <w:rPr>
          <w:rFonts w:ascii="Arial" w:hAnsi="Arial" w:cs="Arial"/>
          <w:i/>
          <w:iCs/>
          <w:sz w:val="22"/>
          <w:szCs w:val="22"/>
        </w:rPr>
      </w:pPr>
      <w:r>
        <w:rPr>
          <w:rFonts w:ascii="Arial" w:hAnsi="Arial" w:cs="Arial"/>
          <w:iCs/>
          <w:sz w:val="22"/>
          <w:szCs w:val="22"/>
        </w:rPr>
        <w:t>Note: Both sides of all streets and roads included in the above description are included unless otherwise stated.</w:t>
      </w:r>
      <w:r w:rsidR="00BB2BA2" w:rsidRPr="00BB2BA2">
        <w:t xml:space="preserve"> </w:t>
      </w:r>
    </w:p>
    <w:p w14:paraId="7B6A33B1" w14:textId="77777777" w:rsidR="000A1F33" w:rsidRDefault="0069102B">
      <w:pPr>
        <w:spacing w:before="240" w:after="240"/>
        <w:jc w:val="both"/>
      </w:pPr>
      <w:r>
        <w:rPr>
          <w:rFonts w:ascii="Arial" w:hAnsi="Arial" w:cs="Arial"/>
          <w:sz w:val="22"/>
          <w:szCs w:val="22"/>
          <w:lang w:val="en-GB"/>
        </w:rPr>
        <w:t>Proof of residence within the home zone will be required</w:t>
      </w:r>
      <w:r>
        <w:rPr>
          <w:rFonts w:ascii="Arial" w:hAnsi="Arial" w:cs="Arial"/>
          <w:i/>
          <w:iCs/>
          <w:sz w:val="22"/>
          <w:szCs w:val="22"/>
        </w:rPr>
        <w:t>.</w:t>
      </w:r>
    </w:p>
    <w:p w14:paraId="344E15AC" w14:textId="77777777" w:rsidR="000A1F33" w:rsidRDefault="0069102B">
      <w:pPr>
        <w:spacing w:before="240" w:after="240"/>
        <w:jc w:val="both"/>
      </w:pPr>
      <w:r>
        <w:rPr>
          <w:rFonts w:ascii="Arial" w:hAnsi="Arial" w:cs="Arial"/>
          <w:sz w:val="22"/>
          <w:szCs w:val="22"/>
          <w:lang w:val="en-GB"/>
        </w:rPr>
        <w:lastRenderedPageBreak/>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w:t>
      </w:r>
    </w:p>
    <w:p w14:paraId="32A23171" w14:textId="77777777" w:rsidR="000A1F33" w:rsidRDefault="0069102B">
      <w:pPr>
        <w:spacing w:before="240" w:after="240"/>
        <w:jc w:val="both"/>
      </w:pPr>
      <w:r>
        <w:rPr>
          <w:rFonts w:ascii="Arial" w:hAnsi="Arial" w:cs="Arial"/>
          <w:b/>
          <w:bCs/>
          <w:u w:val="single"/>
          <w:lang w:val="en-GB"/>
        </w:rPr>
        <w:t>Out of Zone Enrolments</w:t>
      </w:r>
    </w:p>
    <w:p w14:paraId="134F7A3F" w14:textId="77777777" w:rsidR="000A1F33" w:rsidRDefault="0069102B">
      <w:pPr>
        <w:spacing w:before="240" w:after="240"/>
        <w:jc w:val="both"/>
      </w:pPr>
      <w:r>
        <w:rPr>
          <w:rFonts w:ascii="Arial" w:hAnsi="Arial" w:cs="Arial"/>
          <w:sz w:val="22"/>
          <w:szCs w:val="22"/>
          <w:lang w:val="en-GB"/>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6B116D38" w14:textId="77777777" w:rsidR="000A1F33" w:rsidRDefault="0069102B">
      <w:pPr>
        <w:spacing w:before="240" w:after="240"/>
        <w:jc w:val="both"/>
      </w:pPr>
      <w:r>
        <w:rPr>
          <w:rFonts w:ascii="Arial" w:hAnsi="Arial" w:cs="Arial"/>
          <w:sz w:val="22"/>
          <w:szCs w:val="22"/>
          <w:lang w:val="en-GB"/>
        </w:rPr>
        <w:t>Applications for enrolment will be processed in the following order of priority:</w:t>
      </w:r>
    </w:p>
    <w:p w14:paraId="1697EF3D" w14:textId="77777777" w:rsidR="00BB2BA2" w:rsidRDefault="0069102B">
      <w:pPr>
        <w:spacing w:before="240" w:after="240"/>
        <w:ind w:left="1843" w:hanging="1843"/>
        <w:jc w:val="both"/>
        <w:rPr>
          <w:rFonts w:ascii="Arial" w:hAnsi="Arial" w:cs="Arial"/>
          <w:sz w:val="22"/>
          <w:szCs w:val="22"/>
          <w:lang w:val="en-GB"/>
        </w:rPr>
      </w:pPr>
      <w:proofErr w:type="gramStart"/>
      <w:r>
        <w:rPr>
          <w:rFonts w:ascii="Arial" w:hAnsi="Arial" w:cs="Arial"/>
          <w:b/>
          <w:bCs/>
          <w:sz w:val="22"/>
          <w:szCs w:val="22"/>
          <w:u w:val="single"/>
          <w:lang w:val="en-GB"/>
        </w:rPr>
        <w:t>First Priority</w:t>
      </w:r>
      <w:proofErr w:type="gramEnd"/>
      <w:r>
        <w:rPr>
          <w:rFonts w:ascii="Arial" w:hAnsi="Arial" w:cs="Arial"/>
          <w:sz w:val="22"/>
          <w:szCs w:val="22"/>
          <w:lang w:val="en-GB"/>
        </w:rPr>
        <w:t>        </w:t>
      </w:r>
      <w:r w:rsidR="00BB2BA2">
        <w:rPr>
          <w:rFonts w:ascii="Arial" w:hAnsi="Arial" w:cs="Arial"/>
          <w:sz w:val="22"/>
          <w:szCs w:val="22"/>
          <w:lang w:val="en-GB"/>
        </w:rPr>
        <w:t>t</w:t>
      </w:r>
      <w:r w:rsidR="00BB2BA2" w:rsidRPr="00BB2BA2">
        <w:rPr>
          <w:rFonts w:ascii="Arial" w:hAnsi="Arial" w:cs="Arial"/>
          <w:sz w:val="22"/>
          <w:szCs w:val="22"/>
          <w:lang w:val="en-GB"/>
        </w:rPr>
        <w:t xml:space="preserve">his priority is not applicable at this school because the school does not run a special programme approved by the Secretary for Education. </w:t>
      </w:r>
    </w:p>
    <w:p w14:paraId="5DC1AE3B" w14:textId="77777777" w:rsidR="000A1F33" w:rsidRDefault="0069102B">
      <w:pPr>
        <w:spacing w:before="240" w:after="240"/>
        <w:ind w:left="1843" w:hanging="1843"/>
        <w:jc w:val="both"/>
      </w:pPr>
      <w:r>
        <w:rPr>
          <w:rFonts w:ascii="Arial" w:hAnsi="Arial" w:cs="Arial"/>
          <w:b/>
          <w:bCs/>
          <w:sz w:val="22"/>
          <w:szCs w:val="22"/>
          <w:u w:val="single"/>
          <w:lang w:val="en-GB"/>
        </w:rPr>
        <w:t>Second Priority</w:t>
      </w:r>
      <w:r>
        <w:rPr>
          <w:rFonts w:ascii="Arial" w:hAnsi="Arial" w:cs="Arial"/>
          <w:sz w:val="22"/>
          <w:szCs w:val="22"/>
          <w:lang w:val="en-GB"/>
        </w:rPr>
        <w:t>    will be given to applicants who are siblings of current students.</w:t>
      </w:r>
    </w:p>
    <w:p w14:paraId="6A45FAAD" w14:textId="77777777" w:rsidR="000A1F33" w:rsidRDefault="0069102B">
      <w:pPr>
        <w:spacing w:before="240" w:after="240"/>
        <w:ind w:left="1843" w:hanging="1843"/>
        <w:jc w:val="both"/>
      </w:pPr>
      <w:r>
        <w:rPr>
          <w:rFonts w:ascii="Arial" w:hAnsi="Arial" w:cs="Arial"/>
          <w:b/>
          <w:bCs/>
          <w:sz w:val="22"/>
          <w:szCs w:val="22"/>
          <w:u w:val="single"/>
          <w:lang w:val="en-GB"/>
        </w:rPr>
        <w:t>Third Priority</w:t>
      </w:r>
      <w:r>
        <w:rPr>
          <w:rFonts w:ascii="Arial" w:hAnsi="Arial" w:cs="Arial"/>
          <w:sz w:val="22"/>
          <w:szCs w:val="22"/>
          <w:lang w:val="en-GB"/>
        </w:rPr>
        <w:t>       will be given to applicants who are siblings of former students.</w:t>
      </w:r>
    </w:p>
    <w:p w14:paraId="19AEB89C" w14:textId="77777777" w:rsidR="000A1F33" w:rsidRDefault="0069102B">
      <w:pPr>
        <w:spacing w:before="240" w:after="240"/>
        <w:ind w:left="1843" w:hanging="1843"/>
        <w:jc w:val="both"/>
      </w:pPr>
      <w:r>
        <w:rPr>
          <w:rFonts w:ascii="Arial" w:hAnsi="Arial" w:cs="Arial"/>
          <w:b/>
          <w:bCs/>
          <w:sz w:val="22"/>
          <w:szCs w:val="22"/>
          <w:u w:val="single"/>
          <w:lang w:val="en-GB"/>
        </w:rPr>
        <w:t>Fourth Priority</w:t>
      </w:r>
      <w:r>
        <w:rPr>
          <w:rFonts w:ascii="Arial" w:hAnsi="Arial" w:cs="Arial"/>
          <w:sz w:val="22"/>
          <w:szCs w:val="22"/>
          <w:lang w:val="en-GB"/>
        </w:rPr>
        <w:t>     will be given to any applicant who is a child of a former student of the school.</w:t>
      </w:r>
    </w:p>
    <w:p w14:paraId="5EECF284" w14:textId="77777777" w:rsidR="000A1F33" w:rsidRDefault="0069102B">
      <w:pPr>
        <w:spacing w:before="240" w:after="240"/>
        <w:ind w:left="1843" w:hanging="1843"/>
        <w:jc w:val="both"/>
      </w:pPr>
      <w:r>
        <w:rPr>
          <w:rFonts w:ascii="Arial" w:hAnsi="Arial" w:cs="Arial"/>
          <w:b/>
          <w:bCs/>
          <w:sz w:val="22"/>
          <w:szCs w:val="22"/>
          <w:u w:val="single"/>
          <w:lang w:val="en-GB"/>
        </w:rPr>
        <w:t>Fifth Priority</w:t>
      </w:r>
      <w:r>
        <w:rPr>
          <w:rFonts w:ascii="Arial" w:hAnsi="Arial" w:cs="Arial"/>
          <w:sz w:val="22"/>
          <w:szCs w:val="22"/>
          <w:lang w:val="en-GB"/>
        </w:rPr>
        <w:t>         will be given to any applicant who is either a child of an employee of the board of the school or a child of a member of the board of the school.</w:t>
      </w:r>
    </w:p>
    <w:p w14:paraId="4320947C" w14:textId="77777777" w:rsidR="000A1F33" w:rsidRDefault="0069102B">
      <w:pPr>
        <w:spacing w:before="240" w:after="240"/>
        <w:ind w:left="1843" w:hanging="1843"/>
        <w:jc w:val="both"/>
      </w:pPr>
      <w:r>
        <w:rPr>
          <w:rFonts w:ascii="Arial" w:hAnsi="Arial" w:cs="Arial"/>
          <w:b/>
          <w:bCs/>
          <w:sz w:val="22"/>
          <w:szCs w:val="22"/>
          <w:u w:val="single"/>
          <w:lang w:val="en-GB"/>
        </w:rPr>
        <w:t>Sixth Priority</w:t>
      </w:r>
      <w:r>
        <w:rPr>
          <w:rFonts w:ascii="Arial" w:hAnsi="Arial" w:cs="Arial"/>
          <w:sz w:val="22"/>
          <w:szCs w:val="22"/>
          <w:lang w:val="en-GB"/>
        </w:rPr>
        <w:t>        will be given to all other applicants.</w:t>
      </w:r>
    </w:p>
    <w:p w14:paraId="689A54B9" w14:textId="77777777" w:rsidR="004F4ED2" w:rsidRPr="004F4ED2" w:rsidRDefault="004F4ED2" w:rsidP="004F4ED2">
      <w:pPr>
        <w:rPr>
          <w:rFonts w:eastAsia="Times New Roman"/>
          <w:color w:val="000000"/>
          <w:sz w:val="27"/>
          <w:szCs w:val="27"/>
        </w:rPr>
      </w:pPr>
      <w:r w:rsidRPr="004F4ED2">
        <w:rPr>
          <w:rFonts w:ascii="Arial" w:eastAsia="Times New Roman" w:hAnsi="Arial" w:cs="Arial"/>
          <w:color w:val="000000"/>
          <w:sz w:val="22"/>
          <w:szCs w:val="22"/>
          <w:lang w:val="en-AU"/>
        </w:rPr>
        <w:t>If there are more applicants in the second, third, fourth, fifth or sixth priority groups than there are places available, Selection within the priority group will be by ballot conducted in accordance with instructions by the Secretary, under Schedule 20, Clause 3 (1) of the Education and Training Act 2020. Parents will be informed of the date of any ballot by public notice in a medium appropriate to the area served by the school.</w:t>
      </w:r>
    </w:p>
    <w:p w14:paraId="4D3C787C" w14:textId="77777777" w:rsidR="004F4ED2" w:rsidRDefault="004F4ED2">
      <w:pPr>
        <w:autoSpaceDE w:val="0"/>
        <w:autoSpaceDN w:val="0"/>
      </w:pPr>
    </w:p>
    <w:p w14:paraId="4CF42994" w14:textId="77777777" w:rsidR="000A1F33" w:rsidRPr="00BB2BA2" w:rsidRDefault="0069102B" w:rsidP="00BB2BA2">
      <w:pPr>
        <w:spacing w:before="240" w:after="240"/>
        <w:rPr>
          <w:lang w:val="en-AU"/>
        </w:rPr>
      </w:pPr>
      <w:r>
        <w:rPr>
          <w:rFonts w:ascii="Arial" w:hAnsi="Arial" w:cs="Arial"/>
          <w:b/>
          <w:bCs/>
          <w:sz w:val="22"/>
          <w:szCs w:val="22"/>
          <w:lang w:val="en-GB"/>
        </w:rPr>
        <w:t>Applicants seeking second or third priority status may be required to give proof of a sibling relationship.</w:t>
      </w:r>
      <w:r>
        <w:rPr>
          <w:lang w:val="en-AU"/>
        </w:rPr>
        <w:t> </w:t>
      </w:r>
    </w:p>
    <w:sectPr w:rsidR="000A1F33" w:rsidRPr="00BB2BA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4376" w14:textId="77777777" w:rsidR="006B333E" w:rsidRDefault="006B333E" w:rsidP="0069102B">
      <w:r>
        <w:separator/>
      </w:r>
    </w:p>
  </w:endnote>
  <w:endnote w:type="continuationSeparator" w:id="0">
    <w:p w14:paraId="12C8BC56" w14:textId="77777777" w:rsidR="006B333E" w:rsidRDefault="006B333E" w:rsidP="006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D02" w14:textId="77777777" w:rsidR="00E04237" w:rsidRDefault="00E0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7382" w14:textId="77777777" w:rsidR="00E04237" w:rsidRDefault="00E04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87" w14:textId="77777777" w:rsidR="00E04237" w:rsidRDefault="00E0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A4FE" w14:textId="77777777" w:rsidR="006B333E" w:rsidRDefault="006B333E" w:rsidP="0069102B">
      <w:r>
        <w:separator/>
      </w:r>
    </w:p>
  </w:footnote>
  <w:footnote w:type="continuationSeparator" w:id="0">
    <w:p w14:paraId="3172FEB1" w14:textId="77777777" w:rsidR="006B333E" w:rsidRDefault="006B333E" w:rsidP="0069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C138" w14:textId="77777777" w:rsidR="00E04237" w:rsidRDefault="00E0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85070"/>
      <w:docPartObj>
        <w:docPartGallery w:val="Watermarks"/>
        <w:docPartUnique/>
      </w:docPartObj>
    </w:sdtPr>
    <w:sdtEndPr/>
    <w:sdtContent>
      <w:p w14:paraId="24E6523B" w14:textId="5D638510" w:rsidR="00E04237" w:rsidRDefault="00FD6713">
        <w:pPr>
          <w:pStyle w:val="Header"/>
        </w:pPr>
        <w:r>
          <w:rPr>
            <w:noProof/>
          </w:rPr>
          <w:pict w14:anchorId="4EAE3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62B" w14:textId="77777777" w:rsidR="00E04237" w:rsidRDefault="00E0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B0F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64852"/>
    <w:multiLevelType w:val="hybridMultilevel"/>
    <w:tmpl w:val="81844C1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CD"/>
    <w:rsid w:val="0002043C"/>
    <w:rsid w:val="0002584F"/>
    <w:rsid w:val="00036728"/>
    <w:rsid w:val="00080EB9"/>
    <w:rsid w:val="00083AFF"/>
    <w:rsid w:val="00092549"/>
    <w:rsid w:val="000966F6"/>
    <w:rsid w:val="000A1F33"/>
    <w:rsid w:val="000B2260"/>
    <w:rsid w:val="000B518C"/>
    <w:rsid w:val="000C07D8"/>
    <w:rsid w:val="000C5527"/>
    <w:rsid w:val="001011D0"/>
    <w:rsid w:val="001052F7"/>
    <w:rsid w:val="00131C6A"/>
    <w:rsid w:val="001615B3"/>
    <w:rsid w:val="00162EEF"/>
    <w:rsid w:val="001869B3"/>
    <w:rsid w:val="0019467B"/>
    <w:rsid w:val="00197D7C"/>
    <w:rsid w:val="001A3EE7"/>
    <w:rsid w:val="001C2991"/>
    <w:rsid w:val="001C41FF"/>
    <w:rsid w:val="001C61F8"/>
    <w:rsid w:val="00210649"/>
    <w:rsid w:val="0021120A"/>
    <w:rsid w:val="002138B5"/>
    <w:rsid w:val="00215A20"/>
    <w:rsid w:val="00233682"/>
    <w:rsid w:val="00237AA2"/>
    <w:rsid w:val="00242196"/>
    <w:rsid w:val="00243647"/>
    <w:rsid w:val="00271846"/>
    <w:rsid w:val="002A3276"/>
    <w:rsid w:val="002A4D0E"/>
    <w:rsid w:val="002C1FD1"/>
    <w:rsid w:val="002C40E0"/>
    <w:rsid w:val="002C6074"/>
    <w:rsid w:val="002D4F43"/>
    <w:rsid w:val="002D5B96"/>
    <w:rsid w:val="002E57BA"/>
    <w:rsid w:val="002F29F0"/>
    <w:rsid w:val="002F5AB7"/>
    <w:rsid w:val="00313B65"/>
    <w:rsid w:val="00340E94"/>
    <w:rsid w:val="00350A9D"/>
    <w:rsid w:val="0036089B"/>
    <w:rsid w:val="003618D1"/>
    <w:rsid w:val="00372CAA"/>
    <w:rsid w:val="003730CD"/>
    <w:rsid w:val="003747AD"/>
    <w:rsid w:val="003905AA"/>
    <w:rsid w:val="00390760"/>
    <w:rsid w:val="00396FAB"/>
    <w:rsid w:val="003B2527"/>
    <w:rsid w:val="003B461B"/>
    <w:rsid w:val="003C45F2"/>
    <w:rsid w:val="003D2B71"/>
    <w:rsid w:val="003E5D74"/>
    <w:rsid w:val="003E7DD4"/>
    <w:rsid w:val="00403858"/>
    <w:rsid w:val="00413C83"/>
    <w:rsid w:val="004234C6"/>
    <w:rsid w:val="004326CC"/>
    <w:rsid w:val="0044150D"/>
    <w:rsid w:val="00456C2D"/>
    <w:rsid w:val="00467276"/>
    <w:rsid w:val="00475D15"/>
    <w:rsid w:val="00487BEA"/>
    <w:rsid w:val="00491E90"/>
    <w:rsid w:val="004A058F"/>
    <w:rsid w:val="004B02A4"/>
    <w:rsid w:val="004B4EA9"/>
    <w:rsid w:val="004B66C8"/>
    <w:rsid w:val="004F3AF3"/>
    <w:rsid w:val="004F4ED2"/>
    <w:rsid w:val="00500F50"/>
    <w:rsid w:val="00510E68"/>
    <w:rsid w:val="0052058C"/>
    <w:rsid w:val="00527BF6"/>
    <w:rsid w:val="00557597"/>
    <w:rsid w:val="005A22A8"/>
    <w:rsid w:val="005B377A"/>
    <w:rsid w:val="005B57E2"/>
    <w:rsid w:val="005E2607"/>
    <w:rsid w:val="005F143B"/>
    <w:rsid w:val="005F2698"/>
    <w:rsid w:val="005F3991"/>
    <w:rsid w:val="005F6462"/>
    <w:rsid w:val="00604A36"/>
    <w:rsid w:val="00616C11"/>
    <w:rsid w:val="00644DF5"/>
    <w:rsid w:val="006470FD"/>
    <w:rsid w:val="006618A0"/>
    <w:rsid w:val="00662B61"/>
    <w:rsid w:val="0066642B"/>
    <w:rsid w:val="006702FA"/>
    <w:rsid w:val="0067760B"/>
    <w:rsid w:val="0068386E"/>
    <w:rsid w:val="0068622A"/>
    <w:rsid w:val="00686353"/>
    <w:rsid w:val="0069102B"/>
    <w:rsid w:val="00697811"/>
    <w:rsid w:val="006A4F3D"/>
    <w:rsid w:val="006B333E"/>
    <w:rsid w:val="006C1DC8"/>
    <w:rsid w:val="00700257"/>
    <w:rsid w:val="00715004"/>
    <w:rsid w:val="0072182A"/>
    <w:rsid w:val="00727959"/>
    <w:rsid w:val="00732BB9"/>
    <w:rsid w:val="0073367D"/>
    <w:rsid w:val="00733A71"/>
    <w:rsid w:val="00733D0D"/>
    <w:rsid w:val="007540AD"/>
    <w:rsid w:val="007638C1"/>
    <w:rsid w:val="00772F41"/>
    <w:rsid w:val="00783029"/>
    <w:rsid w:val="007A4C0B"/>
    <w:rsid w:val="007A5883"/>
    <w:rsid w:val="007B0837"/>
    <w:rsid w:val="007C13FD"/>
    <w:rsid w:val="007D0BB6"/>
    <w:rsid w:val="007F202C"/>
    <w:rsid w:val="007F563C"/>
    <w:rsid w:val="008009AC"/>
    <w:rsid w:val="00822680"/>
    <w:rsid w:val="00826648"/>
    <w:rsid w:val="008305A8"/>
    <w:rsid w:val="008337F9"/>
    <w:rsid w:val="00834174"/>
    <w:rsid w:val="00846BD7"/>
    <w:rsid w:val="00876CF3"/>
    <w:rsid w:val="00881E24"/>
    <w:rsid w:val="00887424"/>
    <w:rsid w:val="008B2F2E"/>
    <w:rsid w:val="008B780E"/>
    <w:rsid w:val="008D0408"/>
    <w:rsid w:val="008D37C9"/>
    <w:rsid w:val="008D63BC"/>
    <w:rsid w:val="008E4100"/>
    <w:rsid w:val="008E590E"/>
    <w:rsid w:val="008F1951"/>
    <w:rsid w:val="008F4415"/>
    <w:rsid w:val="008F6FF0"/>
    <w:rsid w:val="00906F1F"/>
    <w:rsid w:val="00930D07"/>
    <w:rsid w:val="00943FA3"/>
    <w:rsid w:val="009455E0"/>
    <w:rsid w:val="00954535"/>
    <w:rsid w:val="00956EA7"/>
    <w:rsid w:val="009605D1"/>
    <w:rsid w:val="00963AAC"/>
    <w:rsid w:val="009721D1"/>
    <w:rsid w:val="009722E2"/>
    <w:rsid w:val="009752A8"/>
    <w:rsid w:val="00990FEC"/>
    <w:rsid w:val="009A1E32"/>
    <w:rsid w:val="009A36CA"/>
    <w:rsid w:val="009A3F7F"/>
    <w:rsid w:val="009A5C49"/>
    <w:rsid w:val="009C0AD3"/>
    <w:rsid w:val="009F2FA0"/>
    <w:rsid w:val="009F7E03"/>
    <w:rsid w:val="00A10EB7"/>
    <w:rsid w:val="00A16D1A"/>
    <w:rsid w:val="00A173E2"/>
    <w:rsid w:val="00A176F8"/>
    <w:rsid w:val="00A2323F"/>
    <w:rsid w:val="00A27399"/>
    <w:rsid w:val="00A36F12"/>
    <w:rsid w:val="00A4311C"/>
    <w:rsid w:val="00A6262B"/>
    <w:rsid w:val="00A62DB9"/>
    <w:rsid w:val="00A67475"/>
    <w:rsid w:val="00A70CC5"/>
    <w:rsid w:val="00A72F57"/>
    <w:rsid w:val="00A91F5D"/>
    <w:rsid w:val="00A96A61"/>
    <w:rsid w:val="00AB0B94"/>
    <w:rsid w:val="00AD22A3"/>
    <w:rsid w:val="00AE22F6"/>
    <w:rsid w:val="00AF54CE"/>
    <w:rsid w:val="00B019CE"/>
    <w:rsid w:val="00B4121D"/>
    <w:rsid w:val="00B4503F"/>
    <w:rsid w:val="00B74CFF"/>
    <w:rsid w:val="00B8079C"/>
    <w:rsid w:val="00B8756E"/>
    <w:rsid w:val="00B924FE"/>
    <w:rsid w:val="00B97C85"/>
    <w:rsid w:val="00BB2BA2"/>
    <w:rsid w:val="00BD543B"/>
    <w:rsid w:val="00BE3664"/>
    <w:rsid w:val="00BF687D"/>
    <w:rsid w:val="00C13567"/>
    <w:rsid w:val="00C20DAE"/>
    <w:rsid w:val="00C30947"/>
    <w:rsid w:val="00C416D8"/>
    <w:rsid w:val="00C506F6"/>
    <w:rsid w:val="00C64A44"/>
    <w:rsid w:val="00C71187"/>
    <w:rsid w:val="00C76545"/>
    <w:rsid w:val="00C91F1C"/>
    <w:rsid w:val="00CA38F7"/>
    <w:rsid w:val="00CE7693"/>
    <w:rsid w:val="00D12C10"/>
    <w:rsid w:val="00D31B20"/>
    <w:rsid w:val="00D63369"/>
    <w:rsid w:val="00D65A31"/>
    <w:rsid w:val="00D865CB"/>
    <w:rsid w:val="00DA7D83"/>
    <w:rsid w:val="00DC6554"/>
    <w:rsid w:val="00DE413B"/>
    <w:rsid w:val="00E04237"/>
    <w:rsid w:val="00E11307"/>
    <w:rsid w:val="00E346EF"/>
    <w:rsid w:val="00E61855"/>
    <w:rsid w:val="00E76DDC"/>
    <w:rsid w:val="00E86614"/>
    <w:rsid w:val="00E948FD"/>
    <w:rsid w:val="00EA02CD"/>
    <w:rsid w:val="00EA5181"/>
    <w:rsid w:val="00EF44E9"/>
    <w:rsid w:val="00EF450D"/>
    <w:rsid w:val="00F00E2F"/>
    <w:rsid w:val="00F06827"/>
    <w:rsid w:val="00F2422F"/>
    <w:rsid w:val="00F265E8"/>
    <w:rsid w:val="00F3630A"/>
    <w:rsid w:val="00F40670"/>
    <w:rsid w:val="00F6372E"/>
    <w:rsid w:val="00F706F0"/>
    <w:rsid w:val="00F82AC0"/>
    <w:rsid w:val="00F977BB"/>
    <w:rsid w:val="00FC2133"/>
    <w:rsid w:val="00FD60CF"/>
    <w:rsid w:val="00FD6713"/>
    <w:rsid w:val="00FE7FB8"/>
    <w:rsid w:val="00FF61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76C0699"/>
  <w15:chartTrackingRefBased/>
  <w15:docId w15:val="{2C3D49C9-654B-422C-9916-390241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heme="minorEastAsia" w:hAnsi="Tahoma" w:cs="Tahoma"/>
      <w:sz w:val="24"/>
      <w:szCs w:val="24"/>
    </w:rPr>
  </w:style>
  <w:style w:type="paragraph" w:styleId="Heading1">
    <w:name w:val="heading 1"/>
    <w:basedOn w:val="Normal"/>
    <w:link w:val="Heading1Char"/>
    <w:uiPriority w:val="9"/>
    <w:qFormat/>
    <w:pPr>
      <w:keepNext/>
      <w:spacing w:before="60" w:line="280" w:lineRule="atLeast"/>
      <w:outlineLvl w:val="0"/>
    </w:pPr>
    <w:rPr>
      <w:rFonts w:ascii="Arial" w:hAnsi="Arial" w:cs="Arial"/>
      <w:b/>
      <w:bCs/>
      <w:kern w:val="36"/>
      <w:sz w:val="26"/>
      <w:szCs w:val="26"/>
    </w:rPr>
  </w:style>
  <w:style w:type="paragraph" w:styleId="Heading2">
    <w:name w:val="heading 2"/>
    <w:basedOn w:val="Normal"/>
    <w:link w:val="Heading2Char"/>
    <w:uiPriority w:val="9"/>
    <w:qFormat/>
    <w:pPr>
      <w:keepNext/>
      <w:spacing w:before="60" w:line="280" w:lineRule="atLeast"/>
      <w:outlineLvl w:val="1"/>
    </w:pPr>
    <w:rPr>
      <w:rFonts w:ascii="Arial" w:hAnsi="Arial" w:cs="Arial"/>
      <w:b/>
      <w:bCs/>
      <w:sz w:val="22"/>
      <w:szCs w:val="22"/>
    </w:rPr>
  </w:style>
  <w:style w:type="paragraph" w:styleId="Heading3">
    <w:name w:val="heading 3"/>
    <w:basedOn w:val="Normal"/>
    <w:link w:val="Heading3Char"/>
    <w:uiPriority w:val="9"/>
    <w:qFormat/>
    <w:pPr>
      <w:keepNext/>
      <w:spacing w:before="60" w:line="280" w:lineRule="atLeast"/>
      <w:outlineLvl w:val="2"/>
    </w:pPr>
    <w:rPr>
      <w:rFonts w:ascii="Arial" w:hAnsi="Arial" w:cs="Arial"/>
      <w:b/>
      <w:bCs/>
      <w:i/>
      <w:iCs/>
      <w:sz w:val="22"/>
      <w:szCs w:val="22"/>
    </w:rPr>
  </w:style>
  <w:style w:type="paragraph" w:styleId="Heading4">
    <w:name w:val="heading 4"/>
    <w:basedOn w:val="Normal"/>
    <w:link w:val="Heading4Char"/>
    <w:uiPriority w:val="9"/>
    <w:qFormat/>
    <w:pPr>
      <w:keepNext/>
      <w:spacing w:before="60" w:line="280" w:lineRule="atLeas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Header">
    <w:name w:val="header"/>
    <w:basedOn w:val="Normal"/>
    <w:link w:val="HeaderChar"/>
    <w:uiPriority w:val="99"/>
    <w:unhideWhenUsed/>
    <w:pPr>
      <w:spacing w:line="240" w:lineRule="atLeast"/>
    </w:pPr>
    <w:rPr>
      <w:sz w:val="16"/>
      <w:szCs w:val="16"/>
    </w:rPr>
  </w:style>
  <w:style w:type="character" w:customStyle="1" w:styleId="HeaderChar">
    <w:name w:val="Header Char"/>
    <w:basedOn w:val="DefaultParagraphFont"/>
    <w:link w:val="Header"/>
    <w:uiPriority w:val="99"/>
    <w:locked/>
    <w:rPr>
      <w:rFonts w:ascii="Tahoma" w:eastAsiaTheme="minorEastAsia" w:hAnsi="Tahoma" w:cs="Tahoma" w:hint="default"/>
      <w:sz w:val="24"/>
      <w:szCs w:val="24"/>
    </w:rPr>
  </w:style>
  <w:style w:type="paragraph" w:styleId="Footer">
    <w:name w:val="footer"/>
    <w:basedOn w:val="Normal"/>
    <w:link w:val="FooterChar"/>
    <w:uiPriority w:val="99"/>
    <w:unhideWhenUsed/>
    <w:pPr>
      <w:spacing w:line="200" w:lineRule="atLeast"/>
    </w:pPr>
    <w:rPr>
      <w:rFonts w:ascii="Arial" w:hAnsi="Arial" w:cs="Arial"/>
      <w:sz w:val="15"/>
      <w:szCs w:val="15"/>
    </w:rPr>
  </w:style>
  <w:style w:type="character" w:customStyle="1" w:styleId="FooterChar">
    <w:name w:val="Footer Char"/>
    <w:basedOn w:val="DefaultParagraphFont"/>
    <w:link w:val="Footer"/>
    <w:uiPriority w:val="99"/>
    <w:locked/>
    <w:rPr>
      <w:rFonts w:ascii="Tahoma" w:eastAsiaTheme="minorEastAsia" w:hAnsi="Tahoma" w:cs="Tahoma" w:hint="default"/>
      <w:sz w:val="24"/>
      <w:szCs w:val="24"/>
    </w:rPr>
  </w:style>
  <w:style w:type="paragraph" w:styleId="ListBullet">
    <w:name w:val="List Bullet"/>
    <w:basedOn w:val="Normal"/>
    <w:uiPriority w:val="99"/>
    <w:semiHidden/>
    <w:unhideWhenUsed/>
    <w:pPr>
      <w:spacing w:line="280" w:lineRule="atLeast"/>
      <w:ind w:left="425" w:hanging="425"/>
    </w:pPr>
  </w:style>
  <w:style w:type="paragraph" w:styleId="BodyText">
    <w:name w:val="Body Text"/>
    <w:basedOn w:val="Normal"/>
    <w:link w:val="BodyTextChar"/>
    <w:uiPriority w:val="99"/>
    <w:semiHidden/>
    <w:unhideWhenUsed/>
    <w:pPr>
      <w:spacing w:before="60" w:after="220" w:line="280" w:lineRule="atLeast"/>
    </w:pPr>
    <w:rPr>
      <w:rFonts w:ascii="Arial" w:hAnsi="Arial" w:cs="Arial"/>
    </w:rPr>
  </w:style>
  <w:style w:type="character" w:customStyle="1" w:styleId="BodyTextChar">
    <w:name w:val="Body Text Char"/>
    <w:basedOn w:val="DefaultParagraphFont"/>
    <w:link w:val="BodyText"/>
    <w:uiPriority w:val="99"/>
    <w:semiHidden/>
    <w:locked/>
    <w:rPr>
      <w:rFonts w:ascii="Arial" w:hAnsi="Arial" w:cs="Arial" w:hint="default"/>
    </w:rPr>
  </w:style>
  <w:style w:type="paragraph" w:styleId="PlainText">
    <w:name w:val="Plain Text"/>
    <w:basedOn w:val="Normal"/>
    <w:link w:val="PlainTextChar"/>
    <w:uiPriority w:val="99"/>
    <w:semiHidden/>
    <w:unhideWhenUsed/>
    <w:pPr>
      <w:spacing w:after="240" w:line="320" w:lineRule="atLeast"/>
    </w:pPr>
  </w:style>
  <w:style w:type="character" w:customStyle="1" w:styleId="PlainTextChar">
    <w:name w:val="Plain Text Char"/>
    <w:basedOn w:val="DefaultParagraphFont"/>
    <w:link w:val="PlainText"/>
    <w:uiPriority w:val="99"/>
    <w:semiHidden/>
    <w:locked/>
    <w:rPr>
      <w:rFonts w:ascii="Consolas" w:eastAsiaTheme="minorEastAsia" w:hAnsi="Consolas" w:cs="Tahoma" w:hint="default"/>
      <w:sz w:val="21"/>
      <w:szCs w:val="21"/>
    </w:rPr>
  </w:style>
  <w:style w:type="paragraph" w:styleId="ListParagraph">
    <w:name w:val="List Paragraph"/>
    <w:basedOn w:val="Normal"/>
    <w:uiPriority w:val="34"/>
    <w:qFormat/>
    <w:pPr>
      <w:ind w:left="720"/>
    </w:pPr>
    <w:rPr>
      <w:rFonts w:ascii="Times New Roman" w:hAnsi="Times New Roman" w:cs="Times New Roman"/>
    </w:rPr>
  </w:style>
  <w:style w:type="paragraph" w:customStyle="1" w:styleId="Bullet">
    <w:name w:val="Bullet"/>
    <w:basedOn w:val="Normal"/>
    <w:pPr>
      <w:spacing w:line="320" w:lineRule="atLeast"/>
      <w:ind w:left="425" w:hanging="425"/>
    </w:pPr>
  </w:style>
  <w:style w:type="paragraph" w:customStyle="1" w:styleId="Bulletspace">
    <w:name w:val="Bullet+space"/>
    <w:basedOn w:val="Normal"/>
    <w:pPr>
      <w:spacing w:after="240" w:line="320" w:lineRule="atLeast"/>
      <w:ind w:left="425" w:hanging="425"/>
    </w:pPr>
  </w:style>
  <w:style w:type="paragraph" w:customStyle="1" w:styleId="ListPara">
    <w:name w:val="List Para"/>
    <w:basedOn w:val="Normal"/>
    <w:pPr>
      <w:spacing w:line="280" w:lineRule="atLeast"/>
      <w:ind w:left="425" w:hanging="425"/>
    </w:pPr>
  </w:style>
  <w:style w:type="paragraph" w:customStyle="1" w:styleId="MemoAddresseDetails">
    <w:name w:val="MemoAddresseDetails"/>
    <w:basedOn w:val="Normal"/>
    <w:pPr>
      <w:spacing w:before="60" w:after="60" w:line="280" w:lineRule="atLeast"/>
    </w:pPr>
    <w:rPr>
      <w:rFonts w:ascii="Arial" w:hAnsi="Arial" w:cs="Arial"/>
    </w:rPr>
  </w:style>
  <w:style w:type="paragraph" w:customStyle="1" w:styleId="MemoAddresseePrompts">
    <w:name w:val="MemoAddresseePrompts"/>
    <w:basedOn w:val="Normal"/>
    <w:pPr>
      <w:spacing w:before="60" w:after="60" w:line="280" w:lineRule="atLeast"/>
    </w:pPr>
    <w:rPr>
      <w:rFonts w:ascii="Arial" w:hAnsi="Arial" w:cs="Arial"/>
      <w:b/>
      <w:bCs/>
    </w:rPr>
  </w:style>
  <w:style w:type="paragraph" w:customStyle="1" w:styleId="ParaBullet">
    <w:name w:val="Para Bullet"/>
    <w:basedOn w:val="Normal"/>
    <w:pPr>
      <w:spacing w:before="60" w:after="220" w:line="280" w:lineRule="atLeast"/>
      <w:ind w:left="425" w:hanging="425"/>
    </w:pPr>
  </w:style>
  <w:style w:type="paragraph" w:customStyle="1" w:styleId="ParaNumbered">
    <w:name w:val="Para Numbered"/>
    <w:basedOn w:val="Normal"/>
    <w:pPr>
      <w:spacing w:before="60" w:after="220" w:line="280" w:lineRule="atLeast"/>
      <w:ind w:left="425" w:hanging="425"/>
    </w:pPr>
  </w:style>
  <w:style w:type="paragraph" w:customStyle="1" w:styleId="Space">
    <w:name w:val="Space"/>
    <w:basedOn w:val="Normal"/>
    <w:pPr>
      <w:spacing w:line="320" w:lineRule="atLeast"/>
    </w:pPr>
  </w:style>
  <w:style w:type="paragraph" w:customStyle="1" w:styleId="Subject">
    <w:name w:val="Subject"/>
    <w:basedOn w:val="Normal"/>
    <w:pPr>
      <w:spacing w:before="60" w:line="280" w:lineRule="atLeast"/>
    </w:pPr>
    <w:rPr>
      <w:rFonts w:ascii="Arial" w:hAnsi="Arial" w:cs="Arial"/>
      <w:b/>
      <w:bCs/>
    </w:rPr>
  </w:style>
  <w:style w:type="paragraph" w:customStyle="1" w:styleId="msochpdefault">
    <w:name w:val="msochpdefault"/>
    <w:basedOn w:val="Normal"/>
    <w:pPr>
      <w:spacing w:before="100" w:beforeAutospacing="1" w:after="100" w:afterAutospacing="1"/>
    </w:pPr>
    <w:rPr>
      <w:rFonts w:ascii="Times New Roman" w:hAnsi="Times New Roman" w:cs="Times New Roman"/>
      <w:sz w:val="20"/>
      <w:szCs w:val="20"/>
    </w:rPr>
  </w:style>
  <w:style w:type="character" w:customStyle="1" w:styleId="StyleTahoma">
    <w:name w:val="Style Tahoma"/>
    <w:basedOn w:val="DefaultParagraphFont"/>
    <w:rPr>
      <w:rFonts w:ascii="Tahoma" w:hAnsi="Tahoma" w:cs="Tahoma" w:hint="default"/>
    </w:rPr>
  </w:style>
  <w:style w:type="character" w:styleId="CommentReference">
    <w:name w:val="annotation reference"/>
    <w:basedOn w:val="DefaultParagraphFont"/>
    <w:uiPriority w:val="99"/>
    <w:semiHidden/>
    <w:unhideWhenUsed/>
    <w:rsid w:val="003B2527"/>
    <w:rPr>
      <w:sz w:val="16"/>
      <w:szCs w:val="16"/>
    </w:rPr>
  </w:style>
  <w:style w:type="paragraph" w:styleId="CommentText">
    <w:name w:val="annotation text"/>
    <w:basedOn w:val="Normal"/>
    <w:link w:val="CommentTextChar"/>
    <w:uiPriority w:val="99"/>
    <w:semiHidden/>
    <w:unhideWhenUsed/>
    <w:rsid w:val="003B2527"/>
    <w:rPr>
      <w:sz w:val="20"/>
      <w:szCs w:val="20"/>
    </w:rPr>
  </w:style>
  <w:style w:type="character" w:customStyle="1" w:styleId="CommentTextChar">
    <w:name w:val="Comment Text Char"/>
    <w:basedOn w:val="DefaultParagraphFont"/>
    <w:link w:val="CommentText"/>
    <w:uiPriority w:val="99"/>
    <w:semiHidden/>
    <w:rsid w:val="003B2527"/>
    <w:rPr>
      <w:rFonts w:ascii="Tahoma" w:eastAsiaTheme="minorEastAsia" w:hAnsi="Tahoma" w:cs="Tahoma"/>
    </w:rPr>
  </w:style>
  <w:style w:type="paragraph" w:styleId="CommentSubject">
    <w:name w:val="annotation subject"/>
    <w:basedOn w:val="CommentText"/>
    <w:next w:val="CommentText"/>
    <w:link w:val="CommentSubjectChar"/>
    <w:uiPriority w:val="99"/>
    <w:semiHidden/>
    <w:unhideWhenUsed/>
    <w:rsid w:val="003B2527"/>
    <w:rPr>
      <w:b/>
      <w:bCs/>
    </w:rPr>
  </w:style>
  <w:style w:type="character" w:customStyle="1" w:styleId="CommentSubjectChar">
    <w:name w:val="Comment Subject Char"/>
    <w:basedOn w:val="CommentTextChar"/>
    <w:link w:val="CommentSubject"/>
    <w:uiPriority w:val="99"/>
    <w:semiHidden/>
    <w:rsid w:val="003B2527"/>
    <w:rPr>
      <w:rFonts w:ascii="Tahoma" w:eastAsiaTheme="minorEastAsi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5370">
      <w:bodyDiv w:val="1"/>
      <w:marLeft w:val="0"/>
      <w:marRight w:val="0"/>
      <w:marTop w:val="0"/>
      <w:marBottom w:val="0"/>
      <w:divBdr>
        <w:top w:val="none" w:sz="0" w:space="0" w:color="auto"/>
        <w:left w:val="none" w:sz="0" w:space="0" w:color="auto"/>
        <w:bottom w:val="none" w:sz="0" w:space="0" w:color="auto"/>
        <w:right w:val="none" w:sz="0" w:space="0" w:color="auto"/>
      </w:divBdr>
    </w:div>
    <w:div w:id="844519334">
      <w:bodyDiv w:val="1"/>
      <w:marLeft w:val="0"/>
      <w:marRight w:val="0"/>
      <w:marTop w:val="0"/>
      <w:marBottom w:val="0"/>
      <w:divBdr>
        <w:top w:val="none" w:sz="0" w:space="0" w:color="auto"/>
        <w:left w:val="none" w:sz="0" w:space="0" w:color="auto"/>
        <w:bottom w:val="none" w:sz="0" w:space="0" w:color="auto"/>
        <w:right w:val="none" w:sz="0" w:space="0" w:color="auto"/>
      </w:divBdr>
    </w:div>
    <w:div w:id="1083994505">
      <w:bodyDiv w:val="1"/>
      <w:marLeft w:val="0"/>
      <w:marRight w:val="0"/>
      <w:marTop w:val="0"/>
      <w:marBottom w:val="0"/>
      <w:divBdr>
        <w:top w:val="none" w:sz="0" w:space="0" w:color="auto"/>
        <w:left w:val="none" w:sz="0" w:space="0" w:color="auto"/>
        <w:bottom w:val="none" w:sz="0" w:space="0" w:color="auto"/>
        <w:right w:val="none" w:sz="0" w:space="0" w:color="auto"/>
      </w:divBdr>
    </w:div>
    <w:div w:id="1223103598">
      <w:bodyDiv w:val="1"/>
      <w:marLeft w:val="0"/>
      <w:marRight w:val="0"/>
      <w:marTop w:val="0"/>
      <w:marBottom w:val="0"/>
      <w:divBdr>
        <w:top w:val="none" w:sz="0" w:space="0" w:color="auto"/>
        <w:left w:val="none" w:sz="0" w:space="0" w:color="auto"/>
        <w:bottom w:val="none" w:sz="0" w:space="0" w:color="auto"/>
        <w:right w:val="none" w:sz="0" w:space="0" w:color="auto"/>
      </w:divBdr>
    </w:div>
    <w:div w:id="20326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B1A2-B0EA-4B40-9182-79C18832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8578</TotalTime>
  <Pages>2</Pages>
  <Words>748</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Broman</dc:creator>
  <cp:keywords/>
  <dc:description/>
  <cp:lastModifiedBy>Patrick Broman</cp:lastModifiedBy>
  <cp:revision>41</cp:revision>
  <dcterms:created xsi:type="dcterms:W3CDTF">2022-10-04T01:43:00Z</dcterms:created>
  <dcterms:modified xsi:type="dcterms:W3CDTF">2022-11-28T22:00:00Z</dcterms:modified>
</cp:coreProperties>
</file>