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395F" w14:textId="71CC8CB8" w:rsidR="00F172BF" w:rsidRPr="009F6EAF" w:rsidRDefault="008E628A" w:rsidP="009F6EAF">
      <w:pPr>
        <w:pStyle w:val="IntenseQuote"/>
        <w:rPr>
          <w:b/>
          <w:bCs/>
          <w:i w:val="0"/>
          <w:iCs w:val="0"/>
          <w:sz w:val="36"/>
          <w:szCs w:val="36"/>
        </w:rPr>
      </w:pPr>
      <w:r>
        <w:rPr>
          <w:b/>
          <w:bCs/>
          <w:i w:val="0"/>
          <w:iCs w:val="0"/>
          <w:sz w:val="36"/>
          <w:szCs w:val="36"/>
        </w:rPr>
        <w:t>Longburn School</w:t>
      </w:r>
      <w:r w:rsidR="00F172BF" w:rsidRPr="009F6EAF">
        <w:rPr>
          <w:b/>
          <w:bCs/>
          <w:i w:val="0"/>
          <w:iCs w:val="0"/>
          <w:sz w:val="36"/>
          <w:szCs w:val="36"/>
        </w:rPr>
        <w:t xml:space="preserve"> (2</w:t>
      </w:r>
      <w:r>
        <w:rPr>
          <w:b/>
          <w:bCs/>
          <w:i w:val="0"/>
          <w:iCs w:val="0"/>
          <w:sz w:val="36"/>
          <w:szCs w:val="36"/>
        </w:rPr>
        <w:t>388</w:t>
      </w:r>
      <w:r w:rsidR="00F172BF" w:rsidRPr="009F6EAF">
        <w:rPr>
          <w:b/>
          <w:bCs/>
          <w:i w:val="0"/>
          <w:iCs w:val="0"/>
          <w:sz w:val="36"/>
          <w:szCs w:val="36"/>
        </w:rPr>
        <w:t>)</w:t>
      </w:r>
    </w:p>
    <w:p w14:paraId="743AAAD2" w14:textId="0BBFF0BD" w:rsidR="00F172BF" w:rsidRPr="00B93D64" w:rsidRDefault="008E628A" w:rsidP="00B93D64">
      <w:pPr>
        <w:pStyle w:val="IntenseQuote"/>
        <w:rPr>
          <w:b/>
          <w:bCs/>
          <w:i w:val="0"/>
          <w:iCs w:val="0"/>
          <w:sz w:val="36"/>
          <w:szCs w:val="36"/>
        </w:rPr>
      </w:pPr>
      <w:r>
        <w:rPr>
          <w:b/>
          <w:bCs/>
          <w:i w:val="0"/>
          <w:iCs w:val="0"/>
          <w:sz w:val="36"/>
          <w:szCs w:val="36"/>
        </w:rPr>
        <w:t>Proposed Zone Description</w:t>
      </w:r>
    </w:p>
    <w:p w14:paraId="2A28292E" w14:textId="312504EC" w:rsidR="00F172BF" w:rsidRDefault="00F172BF" w:rsidP="00F172BF">
      <w:pPr>
        <w:spacing w:before="240" w:after="240"/>
        <w:jc w:val="both"/>
        <w:rPr>
          <w:rFonts w:cs="Tahoma"/>
        </w:rPr>
      </w:pPr>
      <w:r>
        <w:rPr>
          <w:b/>
          <w:bCs/>
          <w:u w:val="single"/>
          <w:lang w:val="en-GB"/>
        </w:rPr>
        <w:t>Home Zone</w:t>
      </w:r>
    </w:p>
    <w:p w14:paraId="61C08CFF" w14:textId="77777777" w:rsidR="00F172BF" w:rsidRPr="009F6EAF" w:rsidRDefault="00F172BF" w:rsidP="00F172BF">
      <w:pPr>
        <w:spacing w:before="240" w:after="240"/>
        <w:jc w:val="both"/>
        <w:rPr>
          <w:rFonts w:ascii="Tahoma" w:hAnsi="Tahoma" w:cs="Tahoma"/>
          <w:sz w:val="20"/>
          <w:szCs w:val="20"/>
        </w:rPr>
      </w:pPr>
      <w:r w:rsidRPr="009F6EAF">
        <w:rPr>
          <w:b/>
          <w:bCs/>
          <w:sz w:val="20"/>
          <w:szCs w:val="20"/>
          <w:lang w:val="en-GB"/>
        </w:rPr>
        <w:t xml:space="preserve">All students who live within the home zone </w:t>
      </w:r>
      <w:r w:rsidRPr="009F6EAF">
        <w:rPr>
          <w:b/>
          <w:bCs/>
          <w:sz w:val="20"/>
          <w:szCs w:val="20"/>
          <w:u w:val="single"/>
          <w:lang w:val="en-GB"/>
        </w:rPr>
        <w:t>described below</w:t>
      </w:r>
      <w:r w:rsidRPr="009F6EAF">
        <w:rPr>
          <w:b/>
          <w:bCs/>
          <w:sz w:val="20"/>
          <w:szCs w:val="20"/>
          <w:lang w:val="en-GB"/>
        </w:rPr>
        <w:t xml:space="preserve"> and/or </w:t>
      </w:r>
      <w:r w:rsidRPr="009F6EAF">
        <w:rPr>
          <w:b/>
          <w:bCs/>
          <w:sz w:val="20"/>
          <w:szCs w:val="20"/>
          <w:u w:val="single"/>
          <w:lang w:val="en-GB"/>
        </w:rPr>
        <w:t>shown on the attached map</w:t>
      </w:r>
      <w:r w:rsidRPr="009F6EAF">
        <w:rPr>
          <w:b/>
          <w:bCs/>
          <w:sz w:val="20"/>
          <w:szCs w:val="20"/>
          <w:lang w:val="en-GB"/>
        </w:rPr>
        <w:t xml:space="preserve"> shall be entitled to enrol at the school. </w:t>
      </w:r>
      <w:r w:rsidRPr="009F6EAF">
        <w:rPr>
          <w:b/>
          <w:sz w:val="20"/>
          <w:szCs w:val="20"/>
        </w:rPr>
        <w:t>Both sides of the road are included unless otherwise stated.</w:t>
      </w:r>
    </w:p>
    <w:p w14:paraId="38A94B06" w14:textId="66D46587" w:rsidR="00D6565E" w:rsidRDefault="00D6565E" w:rsidP="007F6363">
      <w:pPr>
        <w:numPr>
          <w:ilvl w:val="0"/>
          <w:numId w:val="1"/>
        </w:numPr>
        <w:rPr>
          <w:i/>
          <w:iCs/>
          <w:sz w:val="20"/>
          <w:szCs w:val="20"/>
        </w:rPr>
      </w:pPr>
      <w:r>
        <w:rPr>
          <w:i/>
          <w:iCs/>
          <w:sz w:val="20"/>
          <w:szCs w:val="20"/>
        </w:rPr>
        <w:t xml:space="preserve">The zone begins at the intersection of Pioneer Highway/State Highway 56 and Maxwells Line and heads South West on Maxwells line until </w:t>
      </w:r>
      <w:r w:rsidR="004E7711">
        <w:rPr>
          <w:i/>
          <w:iCs/>
          <w:sz w:val="20"/>
          <w:szCs w:val="20"/>
        </w:rPr>
        <w:t>Maxwell Line meets the Manawatu River Pathway. The zone</w:t>
      </w:r>
      <w:r>
        <w:rPr>
          <w:i/>
          <w:iCs/>
          <w:sz w:val="20"/>
          <w:szCs w:val="20"/>
        </w:rPr>
        <w:t xml:space="preserve"> includes 9 Rugby Street</w:t>
      </w:r>
      <w:r w:rsidR="00F73A32">
        <w:rPr>
          <w:i/>
          <w:iCs/>
          <w:sz w:val="20"/>
          <w:szCs w:val="20"/>
        </w:rPr>
        <w:t>, 1 College Street, 2 College Street, and 1 Long Melford Road</w:t>
      </w:r>
      <w:r w:rsidR="00E45D7F">
        <w:rPr>
          <w:i/>
          <w:iCs/>
          <w:sz w:val="20"/>
          <w:szCs w:val="20"/>
        </w:rPr>
        <w:t xml:space="preserve"> and all properties Alaska Court and Laurel Place</w:t>
      </w:r>
      <w:r w:rsidR="00CB2361">
        <w:rPr>
          <w:i/>
          <w:iCs/>
          <w:sz w:val="20"/>
          <w:szCs w:val="20"/>
        </w:rPr>
        <w:t>.</w:t>
      </w:r>
    </w:p>
    <w:p w14:paraId="69108664" w14:textId="7D47D6D0" w:rsidR="00D6565E" w:rsidRDefault="004E7711" w:rsidP="007F6363">
      <w:pPr>
        <w:numPr>
          <w:ilvl w:val="0"/>
          <w:numId w:val="1"/>
        </w:numPr>
        <w:rPr>
          <w:i/>
          <w:iCs/>
          <w:sz w:val="20"/>
          <w:szCs w:val="20"/>
        </w:rPr>
      </w:pPr>
      <w:r>
        <w:rPr>
          <w:i/>
          <w:iCs/>
          <w:sz w:val="20"/>
          <w:szCs w:val="20"/>
        </w:rPr>
        <w:t>Where the Manawatu River Pathway would naturally intercept with the Manawatu River, the zone follows the Northern Bank of the Manawatu River toward the West</w:t>
      </w:r>
      <w:r w:rsidR="00CB2361">
        <w:rPr>
          <w:i/>
          <w:iCs/>
          <w:sz w:val="20"/>
          <w:szCs w:val="20"/>
        </w:rPr>
        <w:t>.</w:t>
      </w:r>
    </w:p>
    <w:p w14:paraId="427644CD" w14:textId="379F4CBF" w:rsidR="00D6565E" w:rsidRDefault="00B93D64" w:rsidP="007F6363">
      <w:pPr>
        <w:numPr>
          <w:ilvl w:val="0"/>
          <w:numId w:val="1"/>
        </w:numPr>
        <w:rPr>
          <w:i/>
          <w:iCs/>
          <w:sz w:val="20"/>
          <w:szCs w:val="20"/>
        </w:rPr>
      </w:pPr>
      <w:r>
        <w:rPr>
          <w:i/>
          <w:iCs/>
          <w:sz w:val="20"/>
          <w:szCs w:val="20"/>
        </w:rPr>
        <w:t>Where the Manawatu River intersects with Rangitane Road</w:t>
      </w:r>
      <w:r w:rsidR="00E916D4">
        <w:rPr>
          <w:i/>
          <w:iCs/>
          <w:sz w:val="20"/>
          <w:szCs w:val="20"/>
        </w:rPr>
        <w:t xml:space="preserve"> Opiki Road (SH 56)</w:t>
      </w:r>
      <w:r>
        <w:rPr>
          <w:i/>
          <w:iCs/>
          <w:sz w:val="20"/>
          <w:szCs w:val="20"/>
        </w:rPr>
        <w:t>, the boundary then follows Ra</w:t>
      </w:r>
      <w:r w:rsidR="0031403A">
        <w:rPr>
          <w:i/>
          <w:iCs/>
          <w:sz w:val="20"/>
          <w:szCs w:val="20"/>
        </w:rPr>
        <w:t>n</w:t>
      </w:r>
      <w:r>
        <w:rPr>
          <w:i/>
          <w:iCs/>
          <w:sz w:val="20"/>
          <w:szCs w:val="20"/>
        </w:rPr>
        <w:t>gitane Road to the East until the intersection of Rangitane Road and State Highway 56. The zone includes 7 Alve Road and 1565 Rangiotu Road.</w:t>
      </w:r>
    </w:p>
    <w:p w14:paraId="2A833570" w14:textId="3DFB9241" w:rsidR="00D6565E" w:rsidRDefault="00B93D64" w:rsidP="007F6363">
      <w:pPr>
        <w:numPr>
          <w:ilvl w:val="0"/>
          <w:numId w:val="1"/>
        </w:numPr>
        <w:rPr>
          <w:i/>
          <w:iCs/>
          <w:sz w:val="20"/>
          <w:szCs w:val="20"/>
        </w:rPr>
      </w:pPr>
      <w:r>
        <w:rPr>
          <w:i/>
          <w:iCs/>
          <w:sz w:val="20"/>
          <w:szCs w:val="20"/>
        </w:rPr>
        <w:t>The zone then follows State Highway 56 until the intersection of State Highway 56 and Tiakitahuna Road.</w:t>
      </w:r>
    </w:p>
    <w:p w14:paraId="223F4470" w14:textId="54655FC7" w:rsidR="00D6565E" w:rsidRDefault="004E7711" w:rsidP="007F6363">
      <w:pPr>
        <w:numPr>
          <w:ilvl w:val="0"/>
          <w:numId w:val="1"/>
        </w:numPr>
        <w:rPr>
          <w:i/>
          <w:iCs/>
          <w:sz w:val="20"/>
          <w:szCs w:val="20"/>
        </w:rPr>
      </w:pPr>
      <w:r>
        <w:rPr>
          <w:i/>
          <w:iCs/>
          <w:sz w:val="20"/>
          <w:szCs w:val="20"/>
        </w:rPr>
        <w:t>At the intersection of State Highway 56 and Tiakit</w:t>
      </w:r>
      <w:r w:rsidR="00FD5A54">
        <w:rPr>
          <w:i/>
          <w:iCs/>
          <w:sz w:val="20"/>
          <w:szCs w:val="20"/>
        </w:rPr>
        <w:t xml:space="preserve">ahuna Road </w:t>
      </w:r>
      <w:r w:rsidR="00CB2361">
        <w:rPr>
          <w:i/>
          <w:iCs/>
          <w:sz w:val="20"/>
          <w:szCs w:val="20"/>
        </w:rPr>
        <w:t xml:space="preserve">the zone </w:t>
      </w:r>
      <w:r w:rsidR="00FD5A54">
        <w:rPr>
          <w:i/>
          <w:iCs/>
          <w:sz w:val="20"/>
          <w:szCs w:val="20"/>
        </w:rPr>
        <w:t>turn</w:t>
      </w:r>
      <w:r w:rsidR="00CB2361">
        <w:rPr>
          <w:i/>
          <w:iCs/>
          <w:sz w:val="20"/>
          <w:szCs w:val="20"/>
        </w:rPr>
        <w:t>s</w:t>
      </w:r>
      <w:r w:rsidR="00FD5A54">
        <w:rPr>
          <w:i/>
          <w:iCs/>
          <w:sz w:val="20"/>
          <w:szCs w:val="20"/>
        </w:rPr>
        <w:t xml:space="preserve"> left heading North West on Taikitahuna Road.</w:t>
      </w:r>
      <w:r w:rsidR="00D8585E">
        <w:rPr>
          <w:i/>
          <w:iCs/>
          <w:sz w:val="20"/>
          <w:szCs w:val="20"/>
        </w:rPr>
        <w:t xml:space="preserve"> Properties on both sides of Taikahuna Road are in zone</w:t>
      </w:r>
      <w:r w:rsidR="00CB2361">
        <w:rPr>
          <w:i/>
          <w:iCs/>
          <w:sz w:val="20"/>
          <w:szCs w:val="20"/>
        </w:rPr>
        <w:t>.</w:t>
      </w:r>
    </w:p>
    <w:p w14:paraId="1B4E5C0D" w14:textId="4F91F198" w:rsidR="00FD5A54" w:rsidRDefault="00FD5A54" w:rsidP="007F6363">
      <w:pPr>
        <w:numPr>
          <w:ilvl w:val="0"/>
          <w:numId w:val="1"/>
        </w:numPr>
        <w:rPr>
          <w:i/>
          <w:iCs/>
          <w:sz w:val="20"/>
          <w:szCs w:val="20"/>
        </w:rPr>
      </w:pPr>
      <w:r>
        <w:rPr>
          <w:i/>
          <w:iCs/>
          <w:sz w:val="20"/>
          <w:szCs w:val="20"/>
        </w:rPr>
        <w:t xml:space="preserve">At the intersection of Taikitahuna Road and </w:t>
      </w:r>
      <w:r w:rsidR="009A3A09" w:rsidRPr="00FD5A54">
        <w:rPr>
          <w:i/>
          <w:iCs/>
          <w:sz w:val="20"/>
          <w:szCs w:val="20"/>
        </w:rPr>
        <w:t xml:space="preserve">Number 1 </w:t>
      </w:r>
      <w:r w:rsidR="009A3A09">
        <w:rPr>
          <w:i/>
          <w:iCs/>
          <w:sz w:val="20"/>
          <w:szCs w:val="20"/>
        </w:rPr>
        <w:t xml:space="preserve">Line </w:t>
      </w:r>
      <w:r w:rsidR="009A3A09" w:rsidRPr="00FD5A54">
        <w:rPr>
          <w:i/>
          <w:iCs/>
          <w:sz w:val="20"/>
          <w:szCs w:val="20"/>
        </w:rPr>
        <w:t>Longburn</w:t>
      </w:r>
      <w:r w:rsidR="00CB2361">
        <w:rPr>
          <w:i/>
          <w:iCs/>
          <w:sz w:val="20"/>
          <w:szCs w:val="20"/>
        </w:rPr>
        <w:t>, the zone</w:t>
      </w:r>
      <w:r w:rsidR="009A3A09">
        <w:rPr>
          <w:i/>
          <w:iCs/>
          <w:sz w:val="20"/>
          <w:szCs w:val="20"/>
        </w:rPr>
        <w:t xml:space="preserve"> </w:t>
      </w:r>
      <w:r>
        <w:rPr>
          <w:i/>
          <w:iCs/>
          <w:sz w:val="20"/>
          <w:szCs w:val="20"/>
        </w:rPr>
        <w:t>turn</w:t>
      </w:r>
      <w:r w:rsidR="00CB2361">
        <w:rPr>
          <w:i/>
          <w:iCs/>
          <w:sz w:val="20"/>
          <w:szCs w:val="20"/>
        </w:rPr>
        <w:t>s</w:t>
      </w:r>
      <w:r>
        <w:rPr>
          <w:i/>
          <w:iCs/>
          <w:sz w:val="20"/>
          <w:szCs w:val="20"/>
        </w:rPr>
        <w:t xml:space="preserve"> right heading North East on </w:t>
      </w:r>
      <w:r w:rsidR="009A3A09" w:rsidRPr="00FD5A54">
        <w:rPr>
          <w:i/>
          <w:iCs/>
          <w:sz w:val="20"/>
          <w:szCs w:val="20"/>
        </w:rPr>
        <w:t xml:space="preserve">Number 1 </w:t>
      </w:r>
      <w:r w:rsidR="009A3A09">
        <w:rPr>
          <w:i/>
          <w:iCs/>
          <w:sz w:val="20"/>
          <w:szCs w:val="20"/>
        </w:rPr>
        <w:t xml:space="preserve">Line </w:t>
      </w:r>
      <w:r w:rsidR="009A3A09" w:rsidRPr="00FD5A54">
        <w:rPr>
          <w:i/>
          <w:iCs/>
          <w:sz w:val="20"/>
          <w:szCs w:val="20"/>
        </w:rPr>
        <w:t>Longburn</w:t>
      </w:r>
      <w:r w:rsidR="00CB2361">
        <w:rPr>
          <w:i/>
          <w:iCs/>
          <w:sz w:val="20"/>
          <w:szCs w:val="20"/>
        </w:rPr>
        <w:t>.</w:t>
      </w:r>
      <w:r w:rsidR="00D8585E">
        <w:rPr>
          <w:i/>
          <w:iCs/>
          <w:sz w:val="20"/>
          <w:szCs w:val="20"/>
        </w:rPr>
        <w:t xml:space="preserve"> Only</w:t>
      </w:r>
      <w:r w:rsidR="00CB2361">
        <w:rPr>
          <w:i/>
          <w:iCs/>
          <w:sz w:val="20"/>
          <w:szCs w:val="20"/>
        </w:rPr>
        <w:t xml:space="preserve"> properties</w:t>
      </w:r>
      <w:r w:rsidR="00D8585E">
        <w:rPr>
          <w:i/>
          <w:iCs/>
          <w:sz w:val="20"/>
          <w:szCs w:val="20"/>
        </w:rPr>
        <w:t xml:space="preserve"> numbered on the right side of</w:t>
      </w:r>
      <w:r w:rsidR="003A5100">
        <w:rPr>
          <w:i/>
          <w:iCs/>
          <w:sz w:val="20"/>
          <w:szCs w:val="20"/>
        </w:rPr>
        <w:t xml:space="preserve"> </w:t>
      </w:r>
      <w:r w:rsidR="00D8585E">
        <w:rPr>
          <w:i/>
          <w:iCs/>
          <w:sz w:val="20"/>
          <w:szCs w:val="20"/>
        </w:rPr>
        <w:t>Number 1 Line Longburn are in zone.</w:t>
      </w:r>
    </w:p>
    <w:p w14:paraId="354A75B4" w14:textId="2CEE3960" w:rsidR="00097E03" w:rsidRPr="003A5100" w:rsidRDefault="00FD5A54" w:rsidP="003A5100">
      <w:pPr>
        <w:numPr>
          <w:ilvl w:val="0"/>
          <w:numId w:val="1"/>
        </w:numPr>
        <w:rPr>
          <w:i/>
          <w:iCs/>
          <w:sz w:val="20"/>
          <w:szCs w:val="20"/>
        </w:rPr>
      </w:pPr>
      <w:r>
        <w:rPr>
          <w:i/>
          <w:iCs/>
          <w:sz w:val="20"/>
          <w:szCs w:val="20"/>
        </w:rPr>
        <w:t xml:space="preserve">At the intersection of </w:t>
      </w:r>
      <w:r w:rsidR="009A3A09" w:rsidRPr="00FD5A54">
        <w:rPr>
          <w:i/>
          <w:iCs/>
          <w:sz w:val="20"/>
          <w:szCs w:val="20"/>
        </w:rPr>
        <w:t xml:space="preserve">Number 1 </w:t>
      </w:r>
      <w:r w:rsidR="009A3A09">
        <w:rPr>
          <w:i/>
          <w:iCs/>
          <w:sz w:val="20"/>
          <w:szCs w:val="20"/>
        </w:rPr>
        <w:t xml:space="preserve">Line </w:t>
      </w:r>
      <w:r w:rsidR="009A3A09" w:rsidRPr="00FD5A54">
        <w:rPr>
          <w:i/>
          <w:iCs/>
          <w:sz w:val="20"/>
          <w:szCs w:val="20"/>
        </w:rPr>
        <w:t>Longburn</w:t>
      </w:r>
      <w:r w:rsidR="009A3A09">
        <w:rPr>
          <w:i/>
          <w:iCs/>
          <w:sz w:val="20"/>
          <w:szCs w:val="20"/>
        </w:rPr>
        <w:t xml:space="preserve"> </w:t>
      </w:r>
      <w:r>
        <w:rPr>
          <w:i/>
          <w:iCs/>
          <w:sz w:val="20"/>
          <w:szCs w:val="20"/>
        </w:rPr>
        <w:t xml:space="preserve">and </w:t>
      </w:r>
      <w:r w:rsidR="009A3A09" w:rsidRPr="003A5100">
        <w:rPr>
          <w:i/>
          <w:iCs/>
          <w:sz w:val="20"/>
          <w:szCs w:val="20"/>
        </w:rPr>
        <w:t>Amberley Avenue</w:t>
      </w:r>
      <w:r w:rsidR="00CB2361">
        <w:rPr>
          <w:i/>
          <w:iCs/>
          <w:sz w:val="20"/>
          <w:szCs w:val="20"/>
        </w:rPr>
        <w:t>,</w:t>
      </w:r>
      <w:r w:rsidR="00F73A32" w:rsidRPr="003A5100">
        <w:rPr>
          <w:i/>
          <w:iCs/>
          <w:sz w:val="20"/>
          <w:szCs w:val="20"/>
        </w:rPr>
        <w:t xml:space="preserve"> </w:t>
      </w:r>
      <w:r w:rsidR="003A5100" w:rsidRPr="003A5100">
        <w:rPr>
          <w:i/>
          <w:iCs/>
          <w:sz w:val="20"/>
          <w:szCs w:val="20"/>
        </w:rPr>
        <w:t>the zone turns right and proceed along Amberley Avenue. Only those properties numbered on the right side of Amberley Avenue are in zone.</w:t>
      </w:r>
    </w:p>
    <w:p w14:paraId="5E8531C9" w14:textId="0FAD08CC" w:rsidR="00F73A32" w:rsidRDefault="00F73A32" w:rsidP="007F6363">
      <w:pPr>
        <w:numPr>
          <w:ilvl w:val="0"/>
          <w:numId w:val="1"/>
        </w:numPr>
        <w:rPr>
          <w:i/>
          <w:iCs/>
          <w:sz w:val="20"/>
          <w:szCs w:val="20"/>
        </w:rPr>
      </w:pPr>
      <w:r>
        <w:rPr>
          <w:i/>
          <w:iCs/>
          <w:sz w:val="20"/>
          <w:szCs w:val="20"/>
        </w:rPr>
        <w:t xml:space="preserve">At the intersection of Amberley Avenue and </w:t>
      </w:r>
      <w:bookmarkStart w:id="0" w:name="_Hlk55223765"/>
      <w:r>
        <w:rPr>
          <w:i/>
          <w:iCs/>
          <w:sz w:val="20"/>
          <w:szCs w:val="20"/>
        </w:rPr>
        <w:t>Pioneer Highway/State</w:t>
      </w:r>
      <w:r w:rsidR="001F5AF8">
        <w:rPr>
          <w:i/>
          <w:iCs/>
          <w:sz w:val="20"/>
          <w:szCs w:val="20"/>
        </w:rPr>
        <w:t xml:space="preserve"> </w:t>
      </w:r>
      <w:r>
        <w:rPr>
          <w:i/>
          <w:iCs/>
          <w:sz w:val="20"/>
          <w:szCs w:val="20"/>
        </w:rPr>
        <w:t xml:space="preserve">Highway 56 </w:t>
      </w:r>
      <w:bookmarkEnd w:id="0"/>
      <w:r w:rsidR="00CB2361">
        <w:rPr>
          <w:i/>
          <w:iCs/>
          <w:sz w:val="20"/>
          <w:szCs w:val="20"/>
        </w:rPr>
        <w:t xml:space="preserve">the zone </w:t>
      </w:r>
      <w:r>
        <w:rPr>
          <w:i/>
          <w:iCs/>
          <w:sz w:val="20"/>
          <w:szCs w:val="20"/>
        </w:rPr>
        <w:t>turn</w:t>
      </w:r>
      <w:r w:rsidR="00CB2361">
        <w:rPr>
          <w:i/>
          <w:iCs/>
          <w:sz w:val="20"/>
          <w:szCs w:val="20"/>
        </w:rPr>
        <w:t>s</w:t>
      </w:r>
      <w:r>
        <w:rPr>
          <w:i/>
          <w:iCs/>
          <w:sz w:val="20"/>
          <w:szCs w:val="20"/>
        </w:rPr>
        <w:t xml:space="preserve"> right and head</w:t>
      </w:r>
      <w:r w:rsidR="00CB2361">
        <w:rPr>
          <w:i/>
          <w:iCs/>
          <w:sz w:val="20"/>
          <w:szCs w:val="20"/>
        </w:rPr>
        <w:t>s</w:t>
      </w:r>
      <w:r>
        <w:rPr>
          <w:i/>
          <w:iCs/>
          <w:sz w:val="20"/>
          <w:szCs w:val="20"/>
        </w:rPr>
        <w:t xml:space="preserve"> South Est on Pioneer Highway/State</w:t>
      </w:r>
      <w:r w:rsidR="001F5AF8">
        <w:rPr>
          <w:i/>
          <w:iCs/>
          <w:sz w:val="20"/>
          <w:szCs w:val="20"/>
        </w:rPr>
        <w:t xml:space="preserve"> </w:t>
      </w:r>
      <w:r>
        <w:rPr>
          <w:i/>
          <w:iCs/>
          <w:sz w:val="20"/>
          <w:szCs w:val="20"/>
        </w:rPr>
        <w:t>Highway 56 until the intersection with Maxwell Line. The zone includes 520 Pioneer Highway.</w:t>
      </w:r>
    </w:p>
    <w:p w14:paraId="7C373E37" w14:textId="55ADDC9E" w:rsidR="005330BE" w:rsidRDefault="005330BE" w:rsidP="005330BE">
      <w:pPr>
        <w:rPr>
          <w:i/>
          <w:iCs/>
          <w:sz w:val="20"/>
          <w:szCs w:val="20"/>
        </w:rPr>
      </w:pPr>
    </w:p>
    <w:p w14:paraId="09F583F3" w14:textId="2AD3BFFE" w:rsidR="005330BE" w:rsidRDefault="005330BE" w:rsidP="005330BE">
      <w:pPr>
        <w:rPr>
          <w:i/>
          <w:iCs/>
          <w:sz w:val="20"/>
          <w:szCs w:val="20"/>
        </w:rPr>
      </w:pPr>
    </w:p>
    <w:p w14:paraId="7B1A5A38" w14:textId="77777777" w:rsidR="005330BE" w:rsidRDefault="005330BE" w:rsidP="005330BE">
      <w:pPr>
        <w:spacing w:before="240" w:after="240" w:line="240" w:lineRule="auto"/>
        <w:jc w:val="both"/>
        <w:rPr>
          <w:rFonts w:asciiTheme="minorHAnsi" w:eastAsia="Times New Roman" w:hAnsiTheme="minorHAnsi" w:cstheme="minorHAnsi"/>
          <w:b/>
          <w:lang w:val="en-GB"/>
        </w:rPr>
      </w:pPr>
      <w:r>
        <w:rPr>
          <w:rFonts w:asciiTheme="minorHAnsi" w:eastAsia="Times New Roman" w:hAnsiTheme="minorHAnsi" w:cstheme="minorHAnsi"/>
          <w:b/>
          <w:lang w:val="en-GB"/>
        </w:rPr>
        <w:t>In-Zone Enrolments</w:t>
      </w:r>
    </w:p>
    <w:p w14:paraId="3D041ECA" w14:textId="77777777" w:rsidR="005330BE" w:rsidRDefault="005330BE" w:rsidP="005330BE">
      <w:pPr>
        <w:spacing w:before="240" w:after="240" w:line="240" w:lineRule="auto"/>
        <w:jc w:val="both"/>
        <w:rPr>
          <w:rFonts w:asciiTheme="minorHAnsi" w:eastAsia="Times New Roman" w:hAnsiTheme="minorHAnsi" w:cstheme="minorHAnsi"/>
        </w:rPr>
      </w:pPr>
      <w:r>
        <w:rPr>
          <w:rFonts w:asciiTheme="minorHAnsi" w:eastAsia="Times New Roman" w:hAnsiTheme="minorHAnsi" w:cstheme="minorHAnsi"/>
          <w:lang w:val="en-GB"/>
        </w:rPr>
        <w:t>Proof of residence within the home zone will be required</w:t>
      </w:r>
      <w:r>
        <w:rPr>
          <w:rFonts w:asciiTheme="minorHAnsi" w:eastAsia="Times New Roman" w:hAnsiTheme="minorHAnsi" w:cstheme="minorHAnsi"/>
          <w:i/>
          <w:iCs/>
        </w:rPr>
        <w:t>.</w:t>
      </w:r>
      <w:r>
        <w:rPr>
          <w:rFonts w:asciiTheme="minorHAnsi" w:eastAsia="Times New Roman" w:hAnsiTheme="minorHAnsi" w:cstheme="minorHAnsi"/>
          <w:i/>
          <w:iCs/>
          <w:color w:val="FF0000"/>
        </w:rPr>
        <w:t xml:space="preserve"> </w:t>
      </w:r>
    </w:p>
    <w:p w14:paraId="621DFC61" w14:textId="1C5FAFF1" w:rsidR="005330BE" w:rsidRDefault="005330BE" w:rsidP="005330BE">
      <w:pPr>
        <w:spacing w:before="240" w:after="240" w:line="240" w:lineRule="auto"/>
        <w:jc w:val="both"/>
        <w:rPr>
          <w:rFonts w:asciiTheme="minorHAnsi" w:eastAsia="Times New Roman" w:hAnsiTheme="minorHAnsi" w:cstheme="minorHAnsi"/>
        </w:rPr>
      </w:pPr>
      <w:r>
        <w:rPr>
          <w:rFonts w:asciiTheme="minorHAnsi" w:eastAsia="Times New Roman" w:hAnsiTheme="minorHAnsi" w:cstheme="minorHAnsi"/>
          <w:lang w:val="en-GB"/>
        </w:rPr>
        <w:t xml:space="preserve">Each year applications for enrolment from in-zone students will be sought by a date which will be published by public </w:t>
      </w:r>
      <w:r w:rsidRPr="005330BE">
        <w:rPr>
          <w:rFonts w:asciiTheme="minorHAnsi" w:eastAsia="Times New Roman" w:hAnsiTheme="minorHAnsi" w:cstheme="minorHAnsi"/>
          <w:lang w:val="en-GB"/>
        </w:rPr>
        <w:t xml:space="preserve">notice </w:t>
      </w:r>
      <w:r>
        <w:rPr>
          <w:rFonts w:asciiTheme="minorHAnsi" w:eastAsia="Times New Roman" w:hAnsiTheme="minorHAnsi" w:cstheme="minorHAnsi"/>
          <w:lang w:val="en-GB"/>
        </w:rPr>
        <w:t xml:space="preserve">in </w:t>
      </w:r>
      <w:r w:rsidRPr="005330BE">
        <w:rPr>
          <w:rFonts w:asciiTheme="minorHAnsi" w:hAnsiTheme="minorHAnsi" w:cstheme="minorHAnsi"/>
        </w:rPr>
        <w:t>a medium appropriate to the area served by the school</w:t>
      </w:r>
      <w:r>
        <w:rPr>
          <w:rFonts w:asciiTheme="minorHAnsi" w:hAnsiTheme="minorHAnsi" w:cstheme="minorHAnsi"/>
        </w:rPr>
        <w:t>.</w:t>
      </w:r>
      <w:r>
        <w:rPr>
          <w:rFonts w:asciiTheme="minorHAnsi" w:eastAsia="Times New Roman" w:hAnsiTheme="minorHAnsi" w:cstheme="minorHAnsi"/>
          <w:lang w:val="en-GB"/>
        </w:rPr>
        <w:t xml:space="preserve">  This will enable the board to assess the number of places which can be made available to students who live outside the home zone. </w:t>
      </w:r>
    </w:p>
    <w:p w14:paraId="3367FCA4" w14:textId="77777777" w:rsidR="005330BE" w:rsidRDefault="005330BE" w:rsidP="005330BE">
      <w:pPr>
        <w:spacing w:before="240" w:after="240" w:line="240" w:lineRule="auto"/>
        <w:jc w:val="both"/>
        <w:rPr>
          <w:rFonts w:asciiTheme="minorHAnsi" w:eastAsia="Times New Roman" w:hAnsiTheme="minorHAnsi" w:cstheme="minorHAnsi"/>
        </w:rPr>
      </w:pPr>
      <w:r>
        <w:rPr>
          <w:rFonts w:asciiTheme="minorHAnsi" w:eastAsia="Times New Roman" w:hAnsiTheme="minorHAnsi" w:cstheme="minorHAnsi"/>
          <w:b/>
          <w:bCs/>
          <w:lang w:val="en-GB"/>
        </w:rPr>
        <w:t>Out of Zone Enrolments</w:t>
      </w:r>
    </w:p>
    <w:p w14:paraId="3753EC88" w14:textId="5C547251" w:rsidR="005330BE" w:rsidRDefault="005330BE" w:rsidP="005330BE">
      <w:pPr>
        <w:spacing w:before="240" w:after="240" w:line="240" w:lineRule="auto"/>
        <w:jc w:val="both"/>
        <w:rPr>
          <w:rFonts w:asciiTheme="minorHAnsi" w:eastAsia="Times New Roman" w:hAnsiTheme="minorHAnsi" w:cstheme="minorHAnsi"/>
        </w:rPr>
      </w:pPr>
      <w:r>
        <w:rPr>
          <w:rFonts w:asciiTheme="minorHAnsi" w:eastAsia="Times New Roman" w:hAnsiTheme="minorHAnsi" w:cstheme="minorHAnsi"/>
          <w:lang w:val="en-GB"/>
        </w:rPr>
        <w:t xml:space="preserve">Each year the board will determine the number of places which are likely to be available for the enrolment of students who live outside the home zone. The board will publish this information by public </w:t>
      </w:r>
      <w:r w:rsidRPr="005330BE">
        <w:rPr>
          <w:rFonts w:asciiTheme="minorHAnsi" w:eastAsia="Times New Roman" w:hAnsiTheme="minorHAnsi" w:cstheme="minorHAnsi"/>
          <w:lang w:val="en-GB"/>
        </w:rPr>
        <w:t xml:space="preserve">notice </w:t>
      </w:r>
      <w:r>
        <w:rPr>
          <w:rFonts w:asciiTheme="minorHAnsi" w:eastAsia="Times New Roman" w:hAnsiTheme="minorHAnsi" w:cstheme="minorHAnsi"/>
          <w:lang w:val="en-GB"/>
        </w:rPr>
        <w:t xml:space="preserve">in </w:t>
      </w:r>
      <w:r w:rsidRPr="005330BE">
        <w:rPr>
          <w:rFonts w:asciiTheme="minorHAnsi" w:hAnsiTheme="minorHAnsi" w:cstheme="minorHAnsi"/>
        </w:rPr>
        <w:t>a medium appropriate to the area served by the school</w:t>
      </w:r>
      <w:r>
        <w:rPr>
          <w:rFonts w:asciiTheme="minorHAnsi" w:eastAsia="Times New Roman" w:hAnsiTheme="minorHAnsi" w:cstheme="minorHAnsi"/>
          <w:lang w:val="en-GB"/>
        </w:rPr>
        <w:t>. The notice will indicate how applications are to be made and will specify a date by which all applications must be received.</w:t>
      </w:r>
    </w:p>
    <w:p w14:paraId="29A5E5CA" w14:textId="77777777" w:rsidR="005330BE" w:rsidRDefault="005330BE" w:rsidP="005330BE">
      <w:pPr>
        <w:spacing w:before="240" w:after="240" w:line="240" w:lineRule="auto"/>
        <w:jc w:val="both"/>
        <w:rPr>
          <w:rFonts w:asciiTheme="minorHAnsi" w:eastAsia="Times New Roman" w:hAnsiTheme="minorHAnsi" w:cstheme="minorHAnsi"/>
        </w:rPr>
      </w:pPr>
      <w:r>
        <w:rPr>
          <w:rFonts w:asciiTheme="minorHAnsi" w:eastAsia="Times New Roman" w:hAnsiTheme="minorHAnsi" w:cstheme="minorHAnsi"/>
          <w:lang w:val="en-GB"/>
        </w:rPr>
        <w:lastRenderedPageBreak/>
        <w:t>Applications for enrolment will be processed in the following order of priority, according to legislation:</w:t>
      </w:r>
    </w:p>
    <w:p w14:paraId="5C6D3BB1" w14:textId="77777777" w:rsidR="005330BE" w:rsidRDefault="005330BE" w:rsidP="005330BE">
      <w:pPr>
        <w:spacing w:line="280" w:lineRule="atLeast"/>
        <w:rPr>
          <w:rFonts w:asciiTheme="minorHAnsi" w:eastAsia="Times New Roman" w:hAnsiTheme="minorHAnsi" w:cstheme="minorHAnsi"/>
        </w:rPr>
      </w:pPr>
      <w:r>
        <w:rPr>
          <w:rFonts w:asciiTheme="minorHAnsi" w:eastAsia="Times New Roman" w:hAnsiTheme="minorHAnsi" w:cstheme="minorHAnsi"/>
          <w:b/>
          <w:bCs/>
          <w:u w:val="single"/>
          <w:lang w:val="en-GB"/>
        </w:rPr>
        <w:t>First Priority</w:t>
      </w:r>
      <w:r>
        <w:rPr>
          <w:rFonts w:asciiTheme="minorHAnsi" w:eastAsia="Times New Roman" w:hAnsiTheme="minorHAnsi" w:cstheme="minorHAnsi"/>
          <w:lang w:val="en-GB"/>
        </w:rPr>
        <w:t xml:space="preserve">         </w:t>
      </w:r>
      <w:r>
        <w:rPr>
          <w:rFonts w:asciiTheme="minorHAnsi" w:eastAsia="Times New Roman" w:hAnsiTheme="minorHAnsi" w:cstheme="minorHAnsi"/>
          <w:i/>
          <w:iCs/>
        </w:rPr>
        <w:t>This priority category is not applicable to this school.</w:t>
      </w:r>
      <w:r>
        <w:rPr>
          <w:rFonts w:asciiTheme="minorHAnsi" w:eastAsia="Times New Roman" w:hAnsiTheme="minorHAnsi" w:cstheme="minorHAnsi"/>
          <w:iCs/>
        </w:rPr>
        <w:t xml:space="preserve"> </w:t>
      </w:r>
    </w:p>
    <w:p w14:paraId="6597CFD0" w14:textId="77777777" w:rsidR="005330BE" w:rsidRDefault="005330BE" w:rsidP="005330BE">
      <w:pPr>
        <w:spacing w:before="240" w:after="240" w:line="240" w:lineRule="auto"/>
        <w:ind w:left="1843" w:hanging="1843"/>
        <w:jc w:val="both"/>
        <w:rPr>
          <w:rFonts w:asciiTheme="minorHAnsi" w:eastAsia="Times New Roman" w:hAnsiTheme="minorHAnsi" w:cstheme="minorHAnsi"/>
        </w:rPr>
      </w:pPr>
      <w:r>
        <w:rPr>
          <w:rFonts w:asciiTheme="minorHAnsi" w:eastAsia="Times New Roman" w:hAnsiTheme="minorHAnsi" w:cstheme="minorHAnsi"/>
          <w:b/>
          <w:bCs/>
          <w:u w:val="single"/>
          <w:lang w:val="en-GB"/>
        </w:rPr>
        <w:t>Second Priority</w:t>
      </w:r>
      <w:r>
        <w:rPr>
          <w:rFonts w:asciiTheme="minorHAnsi" w:eastAsia="Times New Roman" w:hAnsiTheme="minorHAnsi" w:cstheme="minorHAnsi"/>
          <w:lang w:val="en-GB"/>
        </w:rPr>
        <w:t>    will be given to applicants who are siblings of current students.</w:t>
      </w:r>
    </w:p>
    <w:p w14:paraId="0C0C4897" w14:textId="77777777" w:rsidR="005330BE" w:rsidRDefault="005330BE" w:rsidP="005330BE">
      <w:pPr>
        <w:spacing w:before="240" w:after="240" w:line="240" w:lineRule="auto"/>
        <w:ind w:left="1843" w:hanging="1843"/>
        <w:jc w:val="both"/>
        <w:rPr>
          <w:rFonts w:asciiTheme="minorHAnsi" w:eastAsia="Times New Roman" w:hAnsiTheme="minorHAnsi" w:cstheme="minorHAnsi"/>
        </w:rPr>
      </w:pPr>
      <w:r>
        <w:rPr>
          <w:rFonts w:asciiTheme="minorHAnsi" w:eastAsia="Times New Roman" w:hAnsiTheme="minorHAnsi" w:cstheme="minorHAnsi"/>
          <w:b/>
          <w:bCs/>
          <w:u w:val="single"/>
          <w:lang w:val="en-GB"/>
        </w:rPr>
        <w:t>Third Priority</w:t>
      </w:r>
      <w:r>
        <w:rPr>
          <w:rFonts w:asciiTheme="minorHAnsi" w:eastAsia="Times New Roman" w:hAnsiTheme="minorHAnsi" w:cstheme="minorHAnsi"/>
          <w:lang w:val="en-GB"/>
        </w:rPr>
        <w:t>       will be given to applicants who are siblings of former students.</w:t>
      </w:r>
    </w:p>
    <w:p w14:paraId="4E497D28" w14:textId="77777777" w:rsidR="005330BE" w:rsidRDefault="005330BE" w:rsidP="005330BE">
      <w:pPr>
        <w:spacing w:before="240" w:after="240" w:line="240" w:lineRule="auto"/>
        <w:ind w:left="1843" w:hanging="1843"/>
        <w:jc w:val="both"/>
        <w:rPr>
          <w:rFonts w:asciiTheme="minorHAnsi" w:eastAsia="Times New Roman" w:hAnsiTheme="minorHAnsi" w:cstheme="minorHAnsi"/>
        </w:rPr>
      </w:pPr>
      <w:r>
        <w:rPr>
          <w:rFonts w:asciiTheme="minorHAnsi" w:eastAsia="Times New Roman" w:hAnsiTheme="minorHAnsi" w:cstheme="minorHAnsi"/>
          <w:b/>
          <w:bCs/>
          <w:u w:val="single"/>
          <w:lang w:val="en-GB"/>
        </w:rPr>
        <w:t>Fourth Priority</w:t>
      </w:r>
      <w:r>
        <w:rPr>
          <w:rFonts w:asciiTheme="minorHAnsi" w:eastAsia="Times New Roman" w:hAnsiTheme="minorHAnsi" w:cstheme="minorHAnsi"/>
          <w:lang w:val="en-GB"/>
        </w:rPr>
        <w:t>     will be given to any applicant who is a child of a former student of the school.</w:t>
      </w:r>
    </w:p>
    <w:p w14:paraId="74533920" w14:textId="73211ACD" w:rsidR="005330BE" w:rsidRDefault="005330BE" w:rsidP="005330BE">
      <w:pPr>
        <w:spacing w:before="240" w:after="240" w:line="240" w:lineRule="auto"/>
        <w:ind w:left="1560" w:hanging="1560"/>
        <w:jc w:val="both"/>
        <w:rPr>
          <w:rFonts w:asciiTheme="minorHAnsi" w:eastAsia="Times New Roman" w:hAnsiTheme="minorHAnsi" w:cstheme="minorHAnsi"/>
        </w:rPr>
      </w:pPr>
      <w:r>
        <w:rPr>
          <w:rFonts w:asciiTheme="minorHAnsi" w:eastAsia="Times New Roman" w:hAnsiTheme="minorHAnsi" w:cstheme="minorHAnsi"/>
          <w:b/>
          <w:bCs/>
          <w:u w:val="single"/>
          <w:lang w:val="en-GB"/>
        </w:rPr>
        <w:t>Fifth Priority</w:t>
      </w:r>
      <w:r>
        <w:rPr>
          <w:rFonts w:asciiTheme="minorHAnsi" w:eastAsia="Times New Roman" w:hAnsiTheme="minorHAnsi" w:cstheme="minorHAnsi"/>
          <w:lang w:val="en-GB"/>
        </w:rPr>
        <w:t>        will be given to any applicant who is either a child of an employee of the board of the school or a child of a member of the board of the school.</w:t>
      </w:r>
    </w:p>
    <w:p w14:paraId="37C37969" w14:textId="77777777" w:rsidR="005330BE" w:rsidRDefault="005330BE" w:rsidP="005330BE">
      <w:pPr>
        <w:spacing w:before="240" w:after="240" w:line="240" w:lineRule="auto"/>
        <w:ind w:left="1843" w:hanging="1843"/>
        <w:jc w:val="both"/>
        <w:rPr>
          <w:rFonts w:asciiTheme="minorHAnsi" w:eastAsia="Times New Roman" w:hAnsiTheme="minorHAnsi" w:cstheme="minorHAnsi"/>
        </w:rPr>
      </w:pPr>
      <w:r>
        <w:rPr>
          <w:rFonts w:asciiTheme="minorHAnsi" w:eastAsia="Times New Roman" w:hAnsiTheme="minorHAnsi" w:cstheme="minorHAnsi"/>
          <w:b/>
          <w:bCs/>
          <w:u w:val="single"/>
          <w:lang w:val="en-GB"/>
        </w:rPr>
        <w:t>Sixth Priority</w:t>
      </w:r>
      <w:r>
        <w:rPr>
          <w:rFonts w:asciiTheme="minorHAnsi" w:eastAsia="Times New Roman" w:hAnsiTheme="minorHAnsi" w:cstheme="minorHAnsi"/>
          <w:lang w:val="en-GB"/>
        </w:rPr>
        <w:t>        will be given to all other applicants.</w:t>
      </w:r>
    </w:p>
    <w:p w14:paraId="6115837D" w14:textId="05BFF613" w:rsidR="005330BE" w:rsidRDefault="005330BE" w:rsidP="005330BE">
      <w:pPr>
        <w:spacing w:before="240" w:after="240"/>
        <w:jc w:val="both"/>
        <w:rPr>
          <w:rFonts w:asciiTheme="minorHAnsi" w:eastAsia="Times New Roman" w:hAnsiTheme="minorHAnsi" w:cstheme="minorHAnsi"/>
        </w:rPr>
      </w:pPr>
      <w:r>
        <w:rPr>
          <w:rFonts w:asciiTheme="minorHAnsi" w:eastAsia="Times New Roman" w:hAnsiTheme="minorHAnsi" w:cstheme="minorHAnsi"/>
          <w:lang w:val="en-GB"/>
        </w:rPr>
        <w:t xml:space="preserve">If there are more applicants in the second, third, fourth, fifth or sixth priority groups than there are places available, selection within the priority group will be by a ballot conducted in accordance with instructions issued by </w:t>
      </w:r>
      <w:r w:rsidRPr="005330BE">
        <w:rPr>
          <w:rFonts w:asciiTheme="minorHAnsi" w:hAnsiTheme="minorHAnsi" w:cstheme="minorHAnsi"/>
        </w:rPr>
        <w:t>Te Tumu Whakarae mō te Mātauranga, the Secretary for Education Ministry of Education</w:t>
      </w:r>
      <w:r>
        <w:rPr>
          <w:rFonts w:asciiTheme="minorHAnsi" w:hAnsiTheme="minorHAnsi" w:cstheme="minorHAnsi"/>
        </w:rPr>
        <w:t>,</w:t>
      </w:r>
      <w:r>
        <w:rPr>
          <w:rFonts w:asciiTheme="minorHAnsi" w:eastAsia="Times New Roman" w:hAnsiTheme="minorHAnsi" w:cstheme="minorHAnsi"/>
          <w:lang w:val="en-GB"/>
        </w:rPr>
        <w:t xml:space="preserve"> under Schedule 20 of the Education and Training act 2020. Parents will be informed of the date of any ballot by public </w:t>
      </w:r>
      <w:r w:rsidRPr="005330BE">
        <w:rPr>
          <w:rFonts w:asciiTheme="minorHAnsi" w:eastAsia="Times New Roman" w:hAnsiTheme="minorHAnsi" w:cstheme="minorHAnsi"/>
          <w:lang w:val="en-GB"/>
        </w:rPr>
        <w:t xml:space="preserve">notice </w:t>
      </w:r>
      <w:r>
        <w:rPr>
          <w:rFonts w:asciiTheme="minorHAnsi" w:eastAsia="Times New Roman" w:hAnsiTheme="minorHAnsi" w:cstheme="minorHAnsi"/>
          <w:lang w:val="en-GB"/>
        </w:rPr>
        <w:t xml:space="preserve">in </w:t>
      </w:r>
      <w:r w:rsidRPr="005330BE">
        <w:rPr>
          <w:rFonts w:asciiTheme="minorHAnsi" w:hAnsiTheme="minorHAnsi" w:cstheme="minorHAnsi"/>
        </w:rPr>
        <w:t>a medium appropriate to the area served by the school</w:t>
      </w:r>
      <w:r>
        <w:rPr>
          <w:rFonts w:asciiTheme="minorHAnsi" w:hAnsiTheme="minorHAnsi" w:cstheme="minorHAnsi"/>
        </w:rPr>
        <w:t>.</w:t>
      </w:r>
    </w:p>
    <w:p w14:paraId="11624428" w14:textId="77777777" w:rsidR="005330BE" w:rsidRDefault="005330BE" w:rsidP="005330BE">
      <w:pPr>
        <w:spacing w:before="240" w:after="240" w:line="240" w:lineRule="auto"/>
        <w:jc w:val="both"/>
        <w:rPr>
          <w:rFonts w:asciiTheme="minorHAnsi" w:eastAsia="Times New Roman" w:hAnsiTheme="minorHAnsi" w:cstheme="minorHAnsi"/>
        </w:rPr>
      </w:pPr>
      <w:r>
        <w:rPr>
          <w:rFonts w:asciiTheme="minorHAnsi" w:eastAsia="Times New Roman" w:hAnsiTheme="minorHAnsi" w:cstheme="minorHAnsi"/>
          <w:b/>
          <w:bCs/>
          <w:lang w:val="en-GB"/>
        </w:rPr>
        <w:t>Applicants seeking second or third priority status may be required to give proof of a sibling relationship.</w:t>
      </w:r>
      <w:r>
        <w:rPr>
          <w:rFonts w:asciiTheme="minorHAnsi" w:eastAsia="Times New Roman" w:hAnsiTheme="minorHAnsi" w:cstheme="minorHAnsi"/>
          <w:lang w:val="en-GB"/>
        </w:rPr>
        <w:t xml:space="preserve"> </w:t>
      </w:r>
    </w:p>
    <w:p w14:paraId="01DD5BAC" w14:textId="77777777" w:rsidR="005330BE" w:rsidRDefault="005330BE" w:rsidP="005330BE">
      <w:pPr>
        <w:spacing w:before="240" w:after="240" w:line="240" w:lineRule="auto"/>
        <w:jc w:val="both"/>
        <w:rPr>
          <w:rFonts w:asciiTheme="minorHAnsi" w:eastAsia="Times New Roman" w:hAnsiTheme="minorHAnsi" w:cstheme="minorHAnsi"/>
        </w:rPr>
      </w:pPr>
    </w:p>
    <w:p w14:paraId="18794E64" w14:textId="77777777" w:rsidR="005330BE" w:rsidRPr="00FD5A54" w:rsidRDefault="005330BE" w:rsidP="005330BE">
      <w:pPr>
        <w:rPr>
          <w:i/>
          <w:iCs/>
          <w:sz w:val="20"/>
          <w:szCs w:val="20"/>
        </w:rPr>
      </w:pPr>
    </w:p>
    <w:sectPr w:rsidR="005330BE" w:rsidRPr="00FD5A54" w:rsidSect="00B93D64">
      <w:headerReference w:type="even" r:id="rId7"/>
      <w:headerReference w:type="default" r:id="rId8"/>
      <w:footerReference w:type="even" r:id="rId9"/>
      <w:footerReference w:type="default" r:id="rId10"/>
      <w:headerReference w:type="first" r:id="rId11"/>
      <w:footerReference w:type="first" r:id="rId12"/>
      <w:pgSz w:w="11906" w:h="16838"/>
      <w:pgMar w:top="426"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DFFE4" w14:textId="77777777" w:rsidR="00937E89" w:rsidRDefault="00937E89" w:rsidP="00990F6D">
      <w:pPr>
        <w:spacing w:line="240" w:lineRule="auto"/>
      </w:pPr>
      <w:r>
        <w:separator/>
      </w:r>
    </w:p>
  </w:endnote>
  <w:endnote w:type="continuationSeparator" w:id="0">
    <w:p w14:paraId="73FCE4EC" w14:textId="77777777" w:rsidR="00937E89" w:rsidRDefault="00937E89" w:rsidP="00990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1448" w14:textId="77777777" w:rsidR="00990F6D" w:rsidRDefault="00990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7C1A5" w14:textId="77777777" w:rsidR="00990F6D" w:rsidRDefault="00990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F5C27" w14:textId="77777777" w:rsidR="00990F6D" w:rsidRDefault="0099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6EAB9" w14:textId="77777777" w:rsidR="00937E89" w:rsidRDefault="00937E89" w:rsidP="00990F6D">
      <w:pPr>
        <w:spacing w:line="240" w:lineRule="auto"/>
      </w:pPr>
      <w:r>
        <w:separator/>
      </w:r>
    </w:p>
  </w:footnote>
  <w:footnote w:type="continuationSeparator" w:id="0">
    <w:p w14:paraId="0CEC6B01" w14:textId="77777777" w:rsidR="00937E89" w:rsidRDefault="00937E89" w:rsidP="00990F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52640" w14:textId="77777777" w:rsidR="00990F6D" w:rsidRDefault="00990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9755838"/>
      <w:docPartObj>
        <w:docPartGallery w:val="Watermarks"/>
        <w:docPartUnique/>
      </w:docPartObj>
    </w:sdtPr>
    <w:sdtEndPr/>
    <w:sdtContent>
      <w:p w14:paraId="264AB81A" w14:textId="489DBAD2" w:rsidR="00990F6D" w:rsidRDefault="00415560">
        <w:pPr>
          <w:pStyle w:val="Header"/>
        </w:pPr>
        <w:r>
          <w:rPr>
            <w:noProof/>
          </w:rPr>
          <w:pict w14:anchorId="597F1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54971" w14:textId="77777777" w:rsidR="00990F6D" w:rsidRDefault="00990F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9007E"/>
    <w:multiLevelType w:val="multilevel"/>
    <w:tmpl w:val="16980E9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BF"/>
    <w:rsid w:val="00097E03"/>
    <w:rsid w:val="00132921"/>
    <w:rsid w:val="001F5AF8"/>
    <w:rsid w:val="0031403A"/>
    <w:rsid w:val="003A5100"/>
    <w:rsid w:val="003B6A39"/>
    <w:rsid w:val="003D4D37"/>
    <w:rsid w:val="00415560"/>
    <w:rsid w:val="004E7711"/>
    <w:rsid w:val="00524962"/>
    <w:rsid w:val="005330BE"/>
    <w:rsid w:val="007F6363"/>
    <w:rsid w:val="00813926"/>
    <w:rsid w:val="008E628A"/>
    <w:rsid w:val="00937E89"/>
    <w:rsid w:val="00990F6D"/>
    <w:rsid w:val="00995E55"/>
    <w:rsid w:val="009A3A09"/>
    <w:rsid w:val="009F6EAF"/>
    <w:rsid w:val="00B93D64"/>
    <w:rsid w:val="00CB2361"/>
    <w:rsid w:val="00D50F6F"/>
    <w:rsid w:val="00D6565E"/>
    <w:rsid w:val="00D8585E"/>
    <w:rsid w:val="00DE3038"/>
    <w:rsid w:val="00E45D7F"/>
    <w:rsid w:val="00E916D4"/>
    <w:rsid w:val="00EA1BF3"/>
    <w:rsid w:val="00F172BF"/>
    <w:rsid w:val="00F54EBA"/>
    <w:rsid w:val="00F73A32"/>
    <w:rsid w:val="00FC4BB6"/>
    <w:rsid w:val="00FD5A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6C1811"/>
  <w15:chartTrackingRefBased/>
  <w15:docId w15:val="{A382F685-B91C-404E-B6DF-FB19F106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BF"/>
    <w:pPr>
      <w:spacing w:after="0" w:line="276" w:lineRule="auto"/>
    </w:pPr>
    <w:rPr>
      <w:rFonts w:ascii="Arial" w:eastAsia="Arial" w:hAnsi="Arial" w:cs="Arial"/>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6EA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F6EAF"/>
    <w:rPr>
      <w:rFonts w:ascii="Arial" w:eastAsia="Arial" w:hAnsi="Arial" w:cs="Arial"/>
      <w:i/>
      <w:iCs/>
      <w:color w:val="4472C4" w:themeColor="accent1"/>
      <w:lang w:eastAsia="en-NZ"/>
    </w:rPr>
  </w:style>
  <w:style w:type="paragraph" w:styleId="Header">
    <w:name w:val="header"/>
    <w:basedOn w:val="Normal"/>
    <w:link w:val="HeaderChar"/>
    <w:uiPriority w:val="99"/>
    <w:unhideWhenUsed/>
    <w:rsid w:val="00990F6D"/>
    <w:pPr>
      <w:tabs>
        <w:tab w:val="center" w:pos="4513"/>
        <w:tab w:val="right" w:pos="9026"/>
      </w:tabs>
      <w:spacing w:line="240" w:lineRule="auto"/>
    </w:pPr>
  </w:style>
  <w:style w:type="character" w:customStyle="1" w:styleId="HeaderChar">
    <w:name w:val="Header Char"/>
    <w:basedOn w:val="DefaultParagraphFont"/>
    <w:link w:val="Header"/>
    <w:uiPriority w:val="99"/>
    <w:rsid w:val="00990F6D"/>
    <w:rPr>
      <w:rFonts w:ascii="Arial" w:eastAsia="Arial" w:hAnsi="Arial" w:cs="Arial"/>
      <w:lang w:eastAsia="en-NZ"/>
    </w:rPr>
  </w:style>
  <w:style w:type="paragraph" w:styleId="Footer">
    <w:name w:val="footer"/>
    <w:basedOn w:val="Normal"/>
    <w:link w:val="FooterChar"/>
    <w:uiPriority w:val="99"/>
    <w:unhideWhenUsed/>
    <w:rsid w:val="00990F6D"/>
    <w:pPr>
      <w:tabs>
        <w:tab w:val="center" w:pos="4513"/>
        <w:tab w:val="right" w:pos="9026"/>
      </w:tabs>
      <w:spacing w:line="240" w:lineRule="auto"/>
    </w:pPr>
  </w:style>
  <w:style w:type="character" w:customStyle="1" w:styleId="FooterChar">
    <w:name w:val="Footer Char"/>
    <w:basedOn w:val="DefaultParagraphFont"/>
    <w:link w:val="Footer"/>
    <w:uiPriority w:val="99"/>
    <w:rsid w:val="00990F6D"/>
    <w:rPr>
      <w:rFonts w:ascii="Arial" w:eastAsia="Arial" w:hAnsi="Arial" w:cs="Arial"/>
      <w:lang w:eastAsia="en-NZ"/>
    </w:rPr>
  </w:style>
  <w:style w:type="paragraph" w:styleId="BalloonText">
    <w:name w:val="Balloon Text"/>
    <w:basedOn w:val="Normal"/>
    <w:link w:val="BalloonTextChar"/>
    <w:uiPriority w:val="99"/>
    <w:semiHidden/>
    <w:unhideWhenUsed/>
    <w:rsid w:val="00E916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6D4"/>
    <w:rPr>
      <w:rFonts w:ascii="Segoe UI" w:eastAsia="Arial" w:hAnsi="Segoe UI" w:cs="Segoe UI"/>
      <w:sz w:val="18"/>
      <w:szCs w:val="1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4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Leath</dc:creator>
  <cp:keywords/>
  <dc:description/>
  <cp:lastModifiedBy>Darryl Leath</cp:lastModifiedBy>
  <cp:revision>2</cp:revision>
  <dcterms:created xsi:type="dcterms:W3CDTF">2021-07-15T21:52:00Z</dcterms:created>
  <dcterms:modified xsi:type="dcterms:W3CDTF">2021-07-15T21:52:00Z</dcterms:modified>
</cp:coreProperties>
</file>