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09BDB" w14:textId="31319F02" w:rsidR="00245CA7" w:rsidRPr="00963997" w:rsidRDefault="005A0968" w:rsidP="005D59CC">
      <w:pPr>
        <w:pStyle w:val="Title"/>
        <w:spacing w:before="120" w:after="120" w:line="240" w:lineRule="atLeast"/>
        <w:contextualSpacing w:val="0"/>
      </w:pPr>
      <w:r>
        <w:rPr>
          <w:b/>
          <w:bCs/>
        </w:rPr>
        <w:t>C</w:t>
      </w:r>
      <w:r w:rsidR="0072659C" w:rsidRPr="00963997">
        <w:rPr>
          <w:b/>
          <w:bCs/>
        </w:rPr>
        <w:t xml:space="preserve">onsultation </w:t>
      </w:r>
      <w:r>
        <w:rPr>
          <w:b/>
          <w:bCs/>
        </w:rPr>
        <w:t>to develop a Long-Term Insights Briefing</w:t>
      </w:r>
      <w:r w:rsidR="003B0F36">
        <w:rPr>
          <w:b/>
          <w:bCs/>
        </w:rPr>
        <w:t>:</w:t>
      </w:r>
    </w:p>
    <w:p w14:paraId="198D797D" w14:textId="2A66899A" w:rsidR="009A767F" w:rsidRPr="00963997" w:rsidRDefault="005F73F6" w:rsidP="005D59CC">
      <w:pPr>
        <w:pStyle w:val="Title"/>
        <w:spacing w:before="120" w:after="120" w:line="240" w:lineRule="atLeast"/>
        <w:contextualSpacing w:val="0"/>
      </w:pPr>
      <w:r w:rsidRPr="00104C6A">
        <w:t>Y</w:t>
      </w:r>
      <w:r w:rsidR="009A767F" w:rsidRPr="00963997">
        <w:t>outh at risk of limited employment</w:t>
      </w:r>
    </w:p>
    <w:p w14:paraId="6C942BCC" w14:textId="53691E14" w:rsidR="00C95AC4" w:rsidRPr="00963997" w:rsidRDefault="007B2B19" w:rsidP="005D59CC">
      <w:pPr>
        <w:pStyle w:val="Heading1"/>
        <w:spacing w:before="120" w:after="120" w:line="240" w:lineRule="atLeast"/>
      </w:pPr>
      <w:r w:rsidRPr="00963997">
        <w:rPr>
          <w:b/>
          <w:bCs/>
        </w:rPr>
        <w:t xml:space="preserve">We are seeking your input </w:t>
      </w:r>
      <w:r w:rsidR="00B5734A" w:rsidRPr="00963997">
        <w:rPr>
          <w:b/>
          <w:bCs/>
        </w:rPr>
        <w:t>and insights</w:t>
      </w:r>
    </w:p>
    <w:p w14:paraId="351C0776" w14:textId="58FC92AF" w:rsidR="008D1426" w:rsidRPr="00963997" w:rsidRDefault="008D1426" w:rsidP="005D59CC">
      <w:pPr>
        <w:pStyle w:val="ListParagraph"/>
        <w:spacing w:before="120" w:after="120" w:line="240" w:lineRule="atLeast"/>
        <w:ind w:left="0"/>
        <w:contextualSpacing w:val="0"/>
        <w:rPr>
          <w:rFonts w:ascii="Arial" w:hAnsi="Arial" w:cs="Arial"/>
          <w:sz w:val="24"/>
          <w:szCs w:val="24"/>
        </w:rPr>
      </w:pPr>
      <w:r w:rsidRPr="00963997">
        <w:rPr>
          <w:rFonts w:ascii="Arial" w:hAnsi="Arial" w:cs="Arial"/>
          <w:sz w:val="24"/>
          <w:szCs w:val="24"/>
        </w:rPr>
        <w:t>The Ministry of Social Development, Ministry of Business, Innovation and Employment and Ministry of Education are developing a Long-Term Insights Briefing on youth at risk of limited employment.</w:t>
      </w:r>
    </w:p>
    <w:p w14:paraId="67E7CA3C" w14:textId="77777777" w:rsidR="008E3130" w:rsidRPr="00963997" w:rsidRDefault="008E3130" w:rsidP="005D59CC">
      <w:pPr>
        <w:pStyle w:val="ListParagraph"/>
        <w:spacing w:before="120" w:after="120" w:line="240" w:lineRule="atLeast"/>
        <w:ind w:left="0"/>
        <w:contextualSpacing w:val="0"/>
        <w:rPr>
          <w:rFonts w:ascii="Arial" w:hAnsi="Arial" w:cs="Arial"/>
          <w:sz w:val="24"/>
          <w:szCs w:val="24"/>
        </w:rPr>
      </w:pPr>
      <w:r w:rsidRPr="00963997">
        <w:rPr>
          <w:rFonts w:ascii="Arial" w:hAnsi="Arial" w:cs="Arial"/>
          <w:sz w:val="24"/>
          <w:szCs w:val="24"/>
        </w:rPr>
        <w:t xml:space="preserve">Long-Term Insights Briefings are public documents with information, </w:t>
      </w:r>
      <w:proofErr w:type="gramStart"/>
      <w:r w:rsidRPr="00963997">
        <w:rPr>
          <w:rFonts w:ascii="Arial" w:hAnsi="Arial" w:cs="Arial"/>
          <w:sz w:val="24"/>
          <w:szCs w:val="24"/>
        </w:rPr>
        <w:t>analysis</w:t>
      </w:r>
      <w:proofErr w:type="gramEnd"/>
      <w:r w:rsidRPr="00963997">
        <w:rPr>
          <w:rFonts w:ascii="Arial" w:hAnsi="Arial" w:cs="Arial"/>
          <w:sz w:val="24"/>
          <w:szCs w:val="24"/>
        </w:rPr>
        <w:t xml:space="preserve"> and a range of policy options on important topics, trends, risks and opportunities that affect New Zealand. </w:t>
      </w:r>
    </w:p>
    <w:p w14:paraId="4833EB10" w14:textId="2F3591D7" w:rsidR="0007239C" w:rsidRPr="00FD362D" w:rsidRDefault="0007239C" w:rsidP="005D59CC">
      <w:pPr>
        <w:pStyle w:val="ListParagraph"/>
        <w:spacing w:before="120" w:after="120" w:line="240" w:lineRule="atLeast"/>
        <w:ind w:left="0"/>
        <w:contextualSpacing w:val="0"/>
        <w:rPr>
          <w:rFonts w:ascii="Arial" w:hAnsi="Arial" w:cs="Arial"/>
          <w:sz w:val="24"/>
          <w:szCs w:val="24"/>
        </w:rPr>
      </w:pPr>
      <w:r w:rsidRPr="00FD362D">
        <w:rPr>
          <w:rFonts w:ascii="Arial" w:hAnsi="Arial" w:cs="Arial"/>
          <w:sz w:val="24"/>
          <w:szCs w:val="24"/>
        </w:rPr>
        <w:t>The final Briefing will be available to the public to be used as a resource and evidence bas</w:t>
      </w:r>
      <w:r w:rsidR="008D0FB5">
        <w:rPr>
          <w:rFonts w:ascii="Arial" w:hAnsi="Arial" w:cs="Arial"/>
          <w:sz w:val="24"/>
          <w:szCs w:val="24"/>
        </w:rPr>
        <w:t>e. It</w:t>
      </w:r>
      <w:r w:rsidRPr="00FD362D">
        <w:rPr>
          <w:rFonts w:ascii="Arial" w:hAnsi="Arial" w:cs="Arial"/>
          <w:sz w:val="24"/>
          <w:szCs w:val="24"/>
        </w:rPr>
        <w:t xml:space="preserve"> will be a source of knowledge to help Government to respond more effectively in the future for youth at risk of limited employment. </w:t>
      </w:r>
    </w:p>
    <w:p w14:paraId="2061DECC" w14:textId="5E902094" w:rsidR="00C42917" w:rsidRPr="00C42917" w:rsidRDefault="00C42917" w:rsidP="005D59CC">
      <w:pPr>
        <w:pStyle w:val="Heading1"/>
        <w:spacing w:before="120" w:after="120" w:line="240" w:lineRule="atLeast"/>
        <w:rPr>
          <w:b/>
          <w:bCs/>
        </w:rPr>
      </w:pPr>
      <w:r w:rsidRPr="00C42917">
        <w:rPr>
          <w:b/>
          <w:bCs/>
        </w:rPr>
        <w:t>The purpose of this document</w:t>
      </w:r>
    </w:p>
    <w:p w14:paraId="0ACD8D92" w14:textId="3528BF18" w:rsidR="0007239C" w:rsidRPr="00963997" w:rsidRDefault="0007239C" w:rsidP="005D59CC">
      <w:pPr>
        <w:spacing w:before="120" w:after="120" w:line="240" w:lineRule="atLeast"/>
        <w:rPr>
          <w:rFonts w:ascii="Arial" w:hAnsi="Arial" w:cs="Arial"/>
          <w:sz w:val="24"/>
          <w:lang w:val="en-NZ"/>
        </w:rPr>
      </w:pPr>
      <w:r w:rsidRPr="00FD362D">
        <w:rPr>
          <w:rFonts w:ascii="Arial" w:hAnsi="Arial" w:cs="Arial"/>
          <w:sz w:val="24"/>
          <w:lang w:val="en-NZ"/>
        </w:rPr>
        <w:t>The purpose of this consultation document is to seek your insight and input on the</w:t>
      </w:r>
      <w:r w:rsidRPr="00963997">
        <w:rPr>
          <w:rFonts w:ascii="Arial" w:hAnsi="Arial" w:cs="Arial"/>
          <w:sz w:val="24"/>
          <w:lang w:val="en-NZ"/>
        </w:rPr>
        <w:t xml:space="preserve"> proposed subject</w:t>
      </w:r>
      <w:r w:rsidR="00FD69B2">
        <w:rPr>
          <w:rFonts w:ascii="Arial" w:hAnsi="Arial" w:cs="Arial"/>
          <w:sz w:val="24"/>
          <w:lang w:val="en-NZ"/>
        </w:rPr>
        <w:t xml:space="preserve"> and scope of the Briefing</w:t>
      </w:r>
      <w:r w:rsidRPr="00963997">
        <w:rPr>
          <w:rFonts w:ascii="Arial" w:hAnsi="Arial" w:cs="Arial"/>
          <w:sz w:val="24"/>
          <w:lang w:val="en-NZ"/>
        </w:rPr>
        <w:t xml:space="preserve">. Your feedback will help develop the </w:t>
      </w:r>
      <w:r w:rsidRPr="00963997">
        <w:rPr>
          <w:rFonts w:ascii="Arial" w:hAnsi="Arial" w:cs="Arial"/>
          <w:sz w:val="24"/>
        </w:rPr>
        <w:t>Long-Term Insights Briefing</w:t>
      </w:r>
      <w:r w:rsidRPr="00963997">
        <w:rPr>
          <w:rFonts w:ascii="Arial" w:hAnsi="Arial" w:cs="Arial"/>
          <w:sz w:val="24"/>
          <w:lang w:val="en-NZ"/>
        </w:rPr>
        <w:t xml:space="preserve"> and ensure we: </w:t>
      </w:r>
    </w:p>
    <w:p w14:paraId="0ABCDBD4" w14:textId="73E0211C" w:rsidR="0007239C" w:rsidRPr="00963997" w:rsidRDefault="0007239C" w:rsidP="005D59CC">
      <w:pPr>
        <w:pStyle w:val="ListParagraph"/>
        <w:numPr>
          <w:ilvl w:val="0"/>
          <w:numId w:val="79"/>
        </w:numPr>
        <w:spacing w:before="120" w:after="120" w:line="240" w:lineRule="atLeast"/>
        <w:contextualSpacing w:val="0"/>
        <w:rPr>
          <w:rFonts w:ascii="Arial" w:hAnsi="Arial" w:cs="Arial"/>
          <w:sz w:val="24"/>
          <w:szCs w:val="24"/>
        </w:rPr>
      </w:pPr>
      <w:r w:rsidRPr="00963997">
        <w:rPr>
          <w:rFonts w:ascii="Arial" w:hAnsi="Arial" w:cs="Arial"/>
          <w:sz w:val="24"/>
          <w:szCs w:val="24"/>
        </w:rPr>
        <w:t xml:space="preserve">reflect the challenges facing youth at risk of limited employment </w:t>
      </w:r>
    </w:p>
    <w:p w14:paraId="0A4A19ED" w14:textId="2DD0D221" w:rsidR="0007239C" w:rsidRPr="00963997" w:rsidRDefault="0007239C" w:rsidP="005D59CC">
      <w:pPr>
        <w:pStyle w:val="ListParagraph"/>
        <w:numPr>
          <w:ilvl w:val="0"/>
          <w:numId w:val="79"/>
        </w:numPr>
        <w:spacing w:before="120" w:after="120" w:line="240" w:lineRule="atLeast"/>
        <w:contextualSpacing w:val="0"/>
        <w:rPr>
          <w:rFonts w:ascii="Arial" w:hAnsi="Arial" w:cs="Arial"/>
          <w:sz w:val="24"/>
          <w:szCs w:val="24"/>
        </w:rPr>
      </w:pPr>
      <w:r w:rsidRPr="00963997">
        <w:rPr>
          <w:rFonts w:ascii="Arial" w:hAnsi="Arial" w:cs="Arial"/>
          <w:sz w:val="24"/>
          <w:szCs w:val="24"/>
        </w:rPr>
        <w:t>prioritise the most important areas</w:t>
      </w:r>
      <w:r w:rsidR="00963997">
        <w:rPr>
          <w:rFonts w:ascii="Arial" w:hAnsi="Arial" w:cs="Arial"/>
          <w:sz w:val="24"/>
          <w:szCs w:val="24"/>
        </w:rPr>
        <w:t xml:space="preserve"> of focus</w:t>
      </w:r>
    </w:p>
    <w:p w14:paraId="57D15EA1" w14:textId="032CD09C" w:rsidR="0007239C" w:rsidRPr="00963997" w:rsidRDefault="0007239C" w:rsidP="005D59CC">
      <w:pPr>
        <w:pStyle w:val="ListParagraph"/>
        <w:numPr>
          <w:ilvl w:val="0"/>
          <w:numId w:val="79"/>
        </w:numPr>
        <w:spacing w:before="120" w:after="120" w:line="240" w:lineRule="atLeast"/>
        <w:contextualSpacing w:val="0"/>
        <w:rPr>
          <w:rFonts w:ascii="Arial" w:hAnsi="Arial" w:cs="Arial"/>
          <w:sz w:val="24"/>
          <w:szCs w:val="24"/>
        </w:rPr>
      </w:pPr>
      <w:r w:rsidRPr="00963997">
        <w:rPr>
          <w:rFonts w:ascii="Arial" w:hAnsi="Arial" w:cs="Arial"/>
          <w:sz w:val="24"/>
          <w:szCs w:val="24"/>
        </w:rPr>
        <w:t>highlight the right options to</w:t>
      </w:r>
      <w:r w:rsidR="00FD69B2">
        <w:rPr>
          <w:rFonts w:ascii="Arial" w:hAnsi="Arial" w:cs="Arial"/>
          <w:sz w:val="24"/>
          <w:szCs w:val="24"/>
        </w:rPr>
        <w:t xml:space="preserve"> achieve</w:t>
      </w:r>
      <w:r w:rsidRPr="00963997">
        <w:rPr>
          <w:rFonts w:ascii="Arial" w:hAnsi="Arial" w:cs="Arial"/>
          <w:sz w:val="24"/>
          <w:szCs w:val="24"/>
        </w:rPr>
        <w:t xml:space="preserve"> better results</w:t>
      </w:r>
      <w:r w:rsidR="00FD69B2">
        <w:rPr>
          <w:rFonts w:ascii="Arial" w:hAnsi="Arial" w:cs="Arial"/>
          <w:sz w:val="24"/>
          <w:szCs w:val="24"/>
        </w:rPr>
        <w:t xml:space="preserve"> for young people</w:t>
      </w:r>
      <w:r w:rsidRPr="00963997">
        <w:rPr>
          <w:rFonts w:ascii="Arial" w:hAnsi="Arial" w:cs="Arial"/>
          <w:sz w:val="24"/>
          <w:szCs w:val="24"/>
        </w:rPr>
        <w:t>.</w:t>
      </w:r>
    </w:p>
    <w:p w14:paraId="162835E9" w14:textId="77777777" w:rsidR="0007239C" w:rsidRPr="00963997" w:rsidRDefault="0007239C" w:rsidP="005D59CC">
      <w:pPr>
        <w:spacing w:before="120" w:after="120" w:line="240" w:lineRule="atLeast"/>
        <w:rPr>
          <w:rFonts w:ascii="Arial" w:hAnsi="Arial" w:cs="Arial"/>
          <w:sz w:val="24"/>
        </w:rPr>
      </w:pPr>
      <w:r w:rsidRPr="00963997">
        <w:rPr>
          <w:rFonts w:ascii="Arial" w:hAnsi="Arial" w:cs="Arial"/>
          <w:sz w:val="24"/>
        </w:rPr>
        <w:t>This document outlines:</w:t>
      </w:r>
    </w:p>
    <w:p w14:paraId="1FA8E2F2" w14:textId="77777777" w:rsidR="0007239C" w:rsidRPr="00963997" w:rsidRDefault="0007239C" w:rsidP="005D59CC">
      <w:pPr>
        <w:pStyle w:val="ListParagraph"/>
        <w:numPr>
          <w:ilvl w:val="0"/>
          <w:numId w:val="78"/>
        </w:numPr>
        <w:spacing w:before="120" w:after="120" w:line="240" w:lineRule="atLeast"/>
        <w:contextualSpacing w:val="0"/>
        <w:rPr>
          <w:rFonts w:ascii="Arial" w:hAnsi="Arial" w:cs="Arial"/>
          <w:sz w:val="24"/>
          <w:szCs w:val="24"/>
        </w:rPr>
      </w:pPr>
      <w:r w:rsidRPr="00963997">
        <w:rPr>
          <w:rFonts w:ascii="Arial" w:hAnsi="Arial" w:cs="Arial"/>
          <w:sz w:val="24"/>
          <w:szCs w:val="24"/>
        </w:rPr>
        <w:t xml:space="preserve">what we know about youth at risk of limited employment </w:t>
      </w:r>
    </w:p>
    <w:p w14:paraId="2D171357" w14:textId="77777777" w:rsidR="0007239C" w:rsidRPr="00963997" w:rsidRDefault="0007239C" w:rsidP="005D59CC">
      <w:pPr>
        <w:pStyle w:val="ListParagraph"/>
        <w:numPr>
          <w:ilvl w:val="0"/>
          <w:numId w:val="78"/>
        </w:numPr>
        <w:spacing w:before="120" w:after="120" w:line="240" w:lineRule="atLeast"/>
        <w:contextualSpacing w:val="0"/>
        <w:rPr>
          <w:rFonts w:ascii="Arial" w:hAnsi="Arial" w:cs="Arial"/>
          <w:sz w:val="24"/>
          <w:szCs w:val="24"/>
        </w:rPr>
      </w:pPr>
      <w:r w:rsidRPr="00963997">
        <w:rPr>
          <w:rFonts w:ascii="Arial" w:hAnsi="Arial" w:cs="Arial"/>
          <w:sz w:val="24"/>
          <w:szCs w:val="24"/>
        </w:rPr>
        <w:t xml:space="preserve">why this subject needs further attention and </w:t>
      </w:r>
      <w:proofErr w:type="gramStart"/>
      <w:r w:rsidRPr="00963997">
        <w:rPr>
          <w:rFonts w:ascii="Arial" w:hAnsi="Arial" w:cs="Arial"/>
          <w:sz w:val="24"/>
          <w:szCs w:val="24"/>
        </w:rPr>
        <w:t>response</w:t>
      </w:r>
      <w:proofErr w:type="gramEnd"/>
    </w:p>
    <w:p w14:paraId="694DB7A3" w14:textId="77777777" w:rsidR="0007239C" w:rsidRPr="00963997" w:rsidRDefault="0007239C" w:rsidP="005D59CC">
      <w:pPr>
        <w:pStyle w:val="ListParagraph"/>
        <w:numPr>
          <w:ilvl w:val="0"/>
          <w:numId w:val="78"/>
        </w:numPr>
        <w:spacing w:before="120" w:after="120" w:line="240" w:lineRule="atLeast"/>
        <w:contextualSpacing w:val="0"/>
        <w:rPr>
          <w:rFonts w:ascii="Arial" w:hAnsi="Arial" w:cs="Arial"/>
          <w:sz w:val="24"/>
          <w:szCs w:val="24"/>
        </w:rPr>
      </w:pPr>
      <w:r w:rsidRPr="00963997">
        <w:rPr>
          <w:rFonts w:ascii="Arial" w:hAnsi="Arial" w:cs="Arial"/>
          <w:sz w:val="24"/>
          <w:szCs w:val="24"/>
        </w:rPr>
        <w:t xml:space="preserve">future trends that will affect young people’s opportunities </w:t>
      </w:r>
    </w:p>
    <w:p w14:paraId="658AC98B" w14:textId="79EE967D" w:rsidR="0007239C" w:rsidRPr="00963997" w:rsidRDefault="0007239C" w:rsidP="005D59CC">
      <w:pPr>
        <w:pStyle w:val="ListParagraph"/>
        <w:numPr>
          <w:ilvl w:val="0"/>
          <w:numId w:val="78"/>
        </w:numPr>
        <w:spacing w:before="120" w:after="120" w:line="240" w:lineRule="atLeast"/>
        <w:contextualSpacing w:val="0"/>
        <w:rPr>
          <w:rFonts w:ascii="Arial" w:hAnsi="Arial" w:cs="Arial"/>
          <w:sz w:val="24"/>
          <w:szCs w:val="24"/>
        </w:rPr>
      </w:pPr>
      <w:r w:rsidRPr="00963997">
        <w:rPr>
          <w:rFonts w:ascii="Arial" w:hAnsi="Arial" w:cs="Arial"/>
          <w:sz w:val="24"/>
          <w:szCs w:val="24"/>
        </w:rPr>
        <w:t xml:space="preserve">current interventions and what we know about </w:t>
      </w:r>
      <w:r w:rsidR="00FD69B2">
        <w:rPr>
          <w:rFonts w:ascii="Arial" w:hAnsi="Arial" w:cs="Arial"/>
          <w:sz w:val="24"/>
          <w:szCs w:val="24"/>
        </w:rPr>
        <w:t>what works</w:t>
      </w:r>
    </w:p>
    <w:p w14:paraId="1862D7D4" w14:textId="0A7CF7B9" w:rsidR="0007239C" w:rsidRPr="00963997" w:rsidRDefault="00FD69B2" w:rsidP="005D59CC">
      <w:pPr>
        <w:pStyle w:val="ListParagraph"/>
        <w:numPr>
          <w:ilvl w:val="0"/>
          <w:numId w:val="78"/>
        </w:numPr>
        <w:spacing w:before="120" w:after="120" w:line="240" w:lineRule="atLeast"/>
        <w:contextualSpacing w:val="0"/>
        <w:rPr>
          <w:rFonts w:ascii="Arial" w:hAnsi="Arial" w:cs="Arial"/>
          <w:sz w:val="24"/>
          <w:szCs w:val="24"/>
        </w:rPr>
      </w:pPr>
      <w:r>
        <w:rPr>
          <w:rFonts w:ascii="Arial" w:hAnsi="Arial" w:cs="Arial"/>
          <w:sz w:val="24"/>
          <w:szCs w:val="24"/>
        </w:rPr>
        <w:t xml:space="preserve">the </w:t>
      </w:r>
      <w:r w:rsidR="0007239C" w:rsidRPr="00963997">
        <w:rPr>
          <w:rFonts w:ascii="Arial" w:hAnsi="Arial" w:cs="Arial"/>
          <w:sz w:val="24"/>
          <w:szCs w:val="24"/>
        </w:rPr>
        <w:t>proposed scope of the Briefing</w:t>
      </w:r>
    </w:p>
    <w:p w14:paraId="22FE9CEF" w14:textId="26084D73" w:rsidR="0007239C" w:rsidRPr="00963997" w:rsidRDefault="00FD69B2" w:rsidP="005D59CC">
      <w:pPr>
        <w:pStyle w:val="ListParagraph"/>
        <w:numPr>
          <w:ilvl w:val="0"/>
          <w:numId w:val="78"/>
        </w:numPr>
        <w:spacing w:before="120" w:after="120" w:line="240" w:lineRule="atLeast"/>
        <w:contextualSpacing w:val="0"/>
        <w:rPr>
          <w:rFonts w:ascii="Arial" w:hAnsi="Arial" w:cs="Arial"/>
          <w:sz w:val="24"/>
          <w:szCs w:val="24"/>
        </w:rPr>
      </w:pPr>
      <w:r>
        <w:rPr>
          <w:rFonts w:ascii="Arial" w:hAnsi="Arial" w:cs="Arial"/>
          <w:sz w:val="24"/>
          <w:szCs w:val="24"/>
        </w:rPr>
        <w:t xml:space="preserve">the </w:t>
      </w:r>
      <w:r w:rsidR="0007239C" w:rsidRPr="00963997">
        <w:rPr>
          <w:rFonts w:ascii="Arial" w:hAnsi="Arial" w:cs="Arial"/>
          <w:sz w:val="24"/>
          <w:szCs w:val="24"/>
        </w:rPr>
        <w:t>proposed focus areas</w:t>
      </w:r>
    </w:p>
    <w:p w14:paraId="1CD74A27" w14:textId="23CE1847" w:rsidR="0007239C" w:rsidRPr="00963997" w:rsidRDefault="0007239C" w:rsidP="005D59CC">
      <w:pPr>
        <w:pStyle w:val="ListParagraph"/>
        <w:numPr>
          <w:ilvl w:val="0"/>
          <w:numId w:val="78"/>
        </w:numPr>
        <w:spacing w:before="120" w:after="120" w:line="240" w:lineRule="atLeast"/>
        <w:contextualSpacing w:val="0"/>
        <w:rPr>
          <w:rFonts w:ascii="Arial" w:hAnsi="Arial" w:cs="Arial"/>
          <w:sz w:val="24"/>
          <w:szCs w:val="24"/>
        </w:rPr>
      </w:pPr>
      <w:r w:rsidRPr="00963997">
        <w:rPr>
          <w:rFonts w:ascii="Arial" w:hAnsi="Arial" w:cs="Arial"/>
          <w:sz w:val="24"/>
          <w:szCs w:val="24"/>
        </w:rPr>
        <w:t>next steps</w:t>
      </w:r>
      <w:r w:rsidR="00FD69B2">
        <w:rPr>
          <w:rFonts w:ascii="Arial" w:hAnsi="Arial" w:cs="Arial"/>
          <w:sz w:val="24"/>
          <w:szCs w:val="24"/>
        </w:rPr>
        <w:t xml:space="preserve"> for the development of the Briefing</w:t>
      </w:r>
      <w:r w:rsidRPr="00963997">
        <w:rPr>
          <w:rFonts w:ascii="Arial" w:hAnsi="Arial" w:cs="Arial"/>
          <w:sz w:val="24"/>
          <w:szCs w:val="24"/>
        </w:rPr>
        <w:t>.</w:t>
      </w:r>
    </w:p>
    <w:p w14:paraId="2130C65F" w14:textId="620CF23F" w:rsidR="00DF5A37" w:rsidRPr="00963997" w:rsidRDefault="00FD69B2" w:rsidP="005D59CC">
      <w:pPr>
        <w:spacing w:before="120" w:after="120" w:line="240" w:lineRule="atLeast"/>
        <w:rPr>
          <w:rFonts w:ascii="Arial" w:hAnsi="Arial" w:cs="Arial"/>
          <w:sz w:val="24"/>
        </w:rPr>
      </w:pPr>
      <w:r w:rsidRPr="00FD69B2">
        <w:rPr>
          <w:rFonts w:ascii="Arial" w:hAnsi="Arial" w:cs="Arial"/>
          <w:sz w:val="24"/>
        </w:rPr>
        <w:t xml:space="preserve">We are seeking your feedback on </w:t>
      </w:r>
      <w:r w:rsidR="0020795D" w:rsidRPr="00963997">
        <w:rPr>
          <w:rFonts w:ascii="Arial" w:hAnsi="Arial" w:cs="Arial"/>
          <w:sz w:val="24"/>
        </w:rPr>
        <w:t xml:space="preserve">several </w:t>
      </w:r>
      <w:r w:rsidR="00DF5A37" w:rsidRPr="00963997">
        <w:rPr>
          <w:rFonts w:ascii="Arial" w:hAnsi="Arial" w:cs="Arial"/>
          <w:sz w:val="24"/>
        </w:rPr>
        <w:t>key questions</w:t>
      </w:r>
      <w:r>
        <w:rPr>
          <w:rFonts w:ascii="Arial" w:hAnsi="Arial" w:cs="Arial"/>
          <w:sz w:val="24"/>
        </w:rPr>
        <w:t>,</w:t>
      </w:r>
      <w:r w:rsidR="00DF5A37" w:rsidRPr="00963997">
        <w:rPr>
          <w:rFonts w:ascii="Arial" w:hAnsi="Arial" w:cs="Arial"/>
          <w:sz w:val="24"/>
        </w:rPr>
        <w:t xml:space="preserve"> including:</w:t>
      </w:r>
    </w:p>
    <w:p w14:paraId="1EB49786" w14:textId="6E564ECF" w:rsidR="0005401A" w:rsidRPr="00963997" w:rsidRDefault="0005401A" w:rsidP="005D59CC">
      <w:pPr>
        <w:pStyle w:val="ListParagraph"/>
        <w:numPr>
          <w:ilvl w:val="0"/>
          <w:numId w:val="77"/>
        </w:numPr>
        <w:spacing w:before="120" w:after="120" w:line="240" w:lineRule="atLeast"/>
        <w:contextualSpacing w:val="0"/>
        <w:rPr>
          <w:rFonts w:ascii="Arial" w:hAnsi="Arial" w:cs="Arial"/>
          <w:sz w:val="24"/>
        </w:rPr>
      </w:pPr>
      <w:r w:rsidRPr="00963997">
        <w:rPr>
          <w:rFonts w:ascii="Arial" w:hAnsi="Arial" w:cs="Arial"/>
          <w:sz w:val="24"/>
          <w:szCs w:val="24"/>
        </w:rPr>
        <w:t xml:space="preserve">Do you agree that youth at risk of limited employment is an important issue to address in the </w:t>
      </w:r>
      <w:r w:rsidR="0007239C" w:rsidRPr="00963997">
        <w:rPr>
          <w:rFonts w:ascii="Arial" w:hAnsi="Arial" w:cs="Arial"/>
          <w:sz w:val="24"/>
          <w:szCs w:val="24"/>
        </w:rPr>
        <w:t>Long-Term</w:t>
      </w:r>
      <w:r w:rsidRPr="00963997">
        <w:rPr>
          <w:rFonts w:ascii="Arial" w:hAnsi="Arial" w:cs="Arial"/>
          <w:sz w:val="24"/>
          <w:szCs w:val="24"/>
        </w:rPr>
        <w:t xml:space="preserve"> Insights Briefing?</w:t>
      </w:r>
    </w:p>
    <w:p w14:paraId="4CC60717" w14:textId="77777777" w:rsidR="00C42917" w:rsidRPr="00C42917" w:rsidRDefault="00C42917" w:rsidP="005D59CC">
      <w:pPr>
        <w:pStyle w:val="ListParagraph"/>
        <w:numPr>
          <w:ilvl w:val="0"/>
          <w:numId w:val="77"/>
        </w:numPr>
        <w:spacing w:before="120" w:after="120" w:line="240" w:lineRule="atLeast"/>
        <w:contextualSpacing w:val="0"/>
        <w:rPr>
          <w:rFonts w:ascii="Arial" w:hAnsi="Arial" w:cs="Arial"/>
          <w:sz w:val="24"/>
        </w:rPr>
      </w:pPr>
      <w:r w:rsidRPr="00C42917">
        <w:rPr>
          <w:rFonts w:ascii="Arial" w:hAnsi="Arial" w:cs="Arial"/>
          <w:sz w:val="24"/>
          <w:szCs w:val="24"/>
        </w:rPr>
        <w:t>What kind of initiatives, programmes or approaches do you think are most successful?</w:t>
      </w:r>
    </w:p>
    <w:p w14:paraId="6C4D0310" w14:textId="29E18C09" w:rsidR="0005401A" w:rsidRPr="00963997" w:rsidRDefault="0005401A" w:rsidP="005D59CC">
      <w:pPr>
        <w:pStyle w:val="ListParagraph"/>
        <w:numPr>
          <w:ilvl w:val="0"/>
          <w:numId w:val="77"/>
        </w:numPr>
        <w:spacing w:before="120" w:after="120" w:line="240" w:lineRule="atLeast"/>
        <w:contextualSpacing w:val="0"/>
        <w:rPr>
          <w:rFonts w:ascii="Arial" w:hAnsi="Arial" w:cs="Arial"/>
          <w:sz w:val="24"/>
        </w:rPr>
      </w:pPr>
      <w:r w:rsidRPr="00963997">
        <w:rPr>
          <w:rFonts w:ascii="Arial" w:hAnsi="Arial" w:cs="Arial"/>
          <w:sz w:val="24"/>
          <w:szCs w:val="24"/>
        </w:rPr>
        <w:t xml:space="preserve">Do you agree with the proposed scope of the </w:t>
      </w:r>
      <w:r w:rsidR="0007239C" w:rsidRPr="00963997">
        <w:rPr>
          <w:rFonts w:ascii="Arial" w:hAnsi="Arial" w:cs="Arial"/>
          <w:sz w:val="24"/>
          <w:szCs w:val="24"/>
        </w:rPr>
        <w:t>Long-Term</w:t>
      </w:r>
      <w:r w:rsidRPr="00963997">
        <w:rPr>
          <w:rFonts w:ascii="Arial" w:hAnsi="Arial" w:cs="Arial"/>
          <w:sz w:val="24"/>
          <w:szCs w:val="24"/>
        </w:rPr>
        <w:t xml:space="preserve"> Insights Briefing?</w:t>
      </w:r>
    </w:p>
    <w:p w14:paraId="617B6BC8" w14:textId="03B5D0F1" w:rsidR="0005401A" w:rsidRPr="00963997" w:rsidRDefault="0005401A" w:rsidP="005D59CC">
      <w:pPr>
        <w:pStyle w:val="ListParagraph"/>
        <w:numPr>
          <w:ilvl w:val="0"/>
          <w:numId w:val="77"/>
        </w:numPr>
        <w:spacing w:before="120" w:after="120" w:line="240" w:lineRule="atLeast"/>
        <w:contextualSpacing w:val="0"/>
        <w:rPr>
          <w:rFonts w:ascii="Arial" w:hAnsi="Arial" w:cs="Arial"/>
          <w:sz w:val="24"/>
        </w:rPr>
      </w:pPr>
      <w:r w:rsidRPr="00963997">
        <w:rPr>
          <w:rFonts w:ascii="Arial" w:hAnsi="Arial" w:cs="Arial"/>
          <w:sz w:val="24"/>
          <w:szCs w:val="24"/>
        </w:rPr>
        <w:lastRenderedPageBreak/>
        <w:t xml:space="preserve">We </w:t>
      </w:r>
      <w:r w:rsidR="001F1FBA">
        <w:rPr>
          <w:rFonts w:ascii="Arial" w:hAnsi="Arial" w:cs="Arial"/>
          <w:sz w:val="24"/>
          <w:szCs w:val="24"/>
        </w:rPr>
        <w:t>have identified</w:t>
      </w:r>
      <w:r w:rsidRPr="00963997">
        <w:rPr>
          <w:rFonts w:ascii="Arial" w:hAnsi="Arial" w:cs="Arial"/>
          <w:sz w:val="24"/>
          <w:szCs w:val="24"/>
        </w:rPr>
        <w:t xml:space="preserve"> three broad focus areas. Do you agree with those focus areas</w:t>
      </w:r>
      <w:r w:rsidR="00C42917">
        <w:rPr>
          <w:rFonts w:ascii="Arial" w:hAnsi="Arial" w:cs="Arial"/>
          <w:sz w:val="24"/>
          <w:szCs w:val="24"/>
        </w:rPr>
        <w:t>, and why or why not</w:t>
      </w:r>
      <w:r w:rsidRPr="00963997">
        <w:rPr>
          <w:rFonts w:ascii="Arial" w:hAnsi="Arial" w:cs="Arial"/>
          <w:sz w:val="24"/>
          <w:szCs w:val="24"/>
        </w:rPr>
        <w:t xml:space="preserve">? </w:t>
      </w:r>
    </w:p>
    <w:p w14:paraId="78F435CA" w14:textId="14916084" w:rsidR="00C42917" w:rsidRPr="00C42917" w:rsidRDefault="00C42917" w:rsidP="005D59CC">
      <w:pPr>
        <w:pStyle w:val="ListParagraph"/>
        <w:numPr>
          <w:ilvl w:val="0"/>
          <w:numId w:val="77"/>
        </w:numPr>
        <w:spacing w:before="120" w:after="120" w:line="240" w:lineRule="atLeast"/>
        <w:contextualSpacing w:val="0"/>
        <w:rPr>
          <w:rFonts w:ascii="Arial" w:hAnsi="Arial" w:cs="Arial"/>
          <w:sz w:val="24"/>
        </w:rPr>
      </w:pPr>
      <w:r>
        <w:rPr>
          <w:rFonts w:ascii="Arial" w:hAnsi="Arial" w:cs="Arial"/>
          <w:sz w:val="24"/>
        </w:rPr>
        <w:t>Are there any other focus areas you think we should consider?</w:t>
      </w:r>
    </w:p>
    <w:p w14:paraId="56E2B1F2" w14:textId="6F4ABF99" w:rsidR="0005401A" w:rsidRPr="00963997" w:rsidRDefault="0005401A" w:rsidP="005D59CC">
      <w:pPr>
        <w:pStyle w:val="ListParagraph"/>
        <w:numPr>
          <w:ilvl w:val="0"/>
          <w:numId w:val="77"/>
        </w:numPr>
        <w:spacing w:before="120" w:after="120" w:line="240" w:lineRule="atLeast"/>
        <w:contextualSpacing w:val="0"/>
        <w:rPr>
          <w:rFonts w:ascii="Arial" w:hAnsi="Arial" w:cs="Arial"/>
          <w:sz w:val="24"/>
        </w:rPr>
      </w:pPr>
      <w:r w:rsidRPr="00963997">
        <w:rPr>
          <w:rFonts w:ascii="Arial" w:hAnsi="Arial" w:cs="Arial"/>
          <w:sz w:val="24"/>
          <w:szCs w:val="24"/>
        </w:rPr>
        <w:t xml:space="preserve">Which focus areas do </w:t>
      </w:r>
      <w:r w:rsidRPr="00C42917">
        <w:rPr>
          <w:rFonts w:ascii="Arial" w:hAnsi="Arial" w:cs="Arial"/>
          <w:sz w:val="24"/>
        </w:rPr>
        <w:t xml:space="preserve">you think should </w:t>
      </w:r>
      <w:r w:rsidR="00C42917" w:rsidRPr="00C42917">
        <w:rPr>
          <w:rFonts w:ascii="Arial" w:hAnsi="Arial" w:cs="Arial"/>
          <w:sz w:val="24"/>
        </w:rPr>
        <w:t>get</w:t>
      </w:r>
      <w:r w:rsidRPr="00C42917">
        <w:rPr>
          <w:rFonts w:ascii="Arial" w:hAnsi="Arial" w:cs="Arial"/>
          <w:sz w:val="24"/>
        </w:rPr>
        <w:t xml:space="preserve"> the highest priority?</w:t>
      </w:r>
    </w:p>
    <w:p w14:paraId="6734431B" w14:textId="77777777" w:rsidR="00C42917" w:rsidRPr="00C42917" w:rsidRDefault="00C42917" w:rsidP="005D59CC">
      <w:pPr>
        <w:pStyle w:val="ListParagraph"/>
        <w:numPr>
          <w:ilvl w:val="0"/>
          <w:numId w:val="77"/>
        </w:numPr>
        <w:spacing w:before="120" w:after="120" w:line="240" w:lineRule="atLeast"/>
        <w:contextualSpacing w:val="0"/>
        <w:rPr>
          <w:rFonts w:ascii="Arial" w:hAnsi="Arial" w:cs="Arial"/>
          <w:sz w:val="24"/>
        </w:rPr>
      </w:pPr>
      <w:r w:rsidRPr="00C42917">
        <w:rPr>
          <w:rFonts w:ascii="Arial" w:hAnsi="Arial" w:cs="Arial"/>
          <w:sz w:val="24"/>
        </w:rPr>
        <w:t>What do you see as the best opportunities to get better results for young people at risk of limited employment?</w:t>
      </w:r>
    </w:p>
    <w:p w14:paraId="5AFF4ACF" w14:textId="34E5F6AA" w:rsidR="00C42917" w:rsidRPr="00C42917" w:rsidRDefault="00C42917" w:rsidP="005D59CC">
      <w:pPr>
        <w:pStyle w:val="ListParagraph"/>
        <w:numPr>
          <w:ilvl w:val="0"/>
          <w:numId w:val="77"/>
        </w:numPr>
        <w:spacing w:before="120" w:after="120" w:line="240" w:lineRule="atLeast"/>
        <w:contextualSpacing w:val="0"/>
        <w:rPr>
          <w:rFonts w:ascii="Arial" w:hAnsi="Arial" w:cs="Arial"/>
          <w:sz w:val="24"/>
        </w:rPr>
      </w:pPr>
      <w:r w:rsidRPr="00C42917">
        <w:rPr>
          <w:rFonts w:ascii="Arial" w:hAnsi="Arial" w:cs="Arial"/>
          <w:sz w:val="24"/>
        </w:rPr>
        <w:t xml:space="preserve">Are there barriers we </w:t>
      </w:r>
      <w:r w:rsidR="008D0FB5">
        <w:rPr>
          <w:rFonts w:ascii="Arial" w:hAnsi="Arial" w:cs="Arial"/>
          <w:sz w:val="24"/>
        </w:rPr>
        <w:t>have not</w:t>
      </w:r>
      <w:r w:rsidRPr="00C42917">
        <w:rPr>
          <w:rFonts w:ascii="Arial" w:hAnsi="Arial" w:cs="Arial"/>
          <w:sz w:val="24"/>
        </w:rPr>
        <w:t xml:space="preserve"> mentioned?</w:t>
      </w:r>
    </w:p>
    <w:p w14:paraId="49836912" w14:textId="19D24DE0" w:rsidR="00FA37AB" w:rsidRDefault="000825FB" w:rsidP="005D59CC">
      <w:pPr>
        <w:pStyle w:val="Title"/>
        <w:spacing w:before="120" w:after="120" w:line="240" w:lineRule="atLeast"/>
        <w:contextualSpacing w:val="0"/>
      </w:pPr>
      <w:r w:rsidRPr="00963997">
        <w:t xml:space="preserve">What we know about </w:t>
      </w:r>
      <w:bookmarkStart w:id="0" w:name="_Hlk73440873"/>
      <w:r w:rsidRPr="00963997">
        <w:t>y</w:t>
      </w:r>
      <w:r w:rsidR="00FA37AB" w:rsidRPr="00963997">
        <w:t>outh at risk of limited employmen</w:t>
      </w:r>
      <w:r w:rsidR="00EF4317" w:rsidRPr="00963997">
        <w:t>t</w:t>
      </w:r>
    </w:p>
    <w:p w14:paraId="1E148AE4" w14:textId="28BCC2BB" w:rsidR="00C42917" w:rsidRPr="00FC7927" w:rsidRDefault="00C42917" w:rsidP="005D59CC">
      <w:pPr>
        <w:pStyle w:val="Heading1"/>
        <w:spacing w:before="120" w:after="120" w:line="240" w:lineRule="atLeast"/>
        <w:rPr>
          <w:b/>
          <w:bCs/>
        </w:rPr>
      </w:pPr>
      <w:r w:rsidRPr="00C42917">
        <w:rPr>
          <w:b/>
          <w:bCs/>
        </w:rPr>
        <w:t xml:space="preserve">Key question to consider: Is youth at risk of limited employment a worthwhile subject to investigate further </w:t>
      </w:r>
      <w:r w:rsidR="00607C88">
        <w:rPr>
          <w:b/>
          <w:bCs/>
        </w:rPr>
        <w:t>through</w:t>
      </w:r>
      <w:r w:rsidRPr="00C42917">
        <w:rPr>
          <w:b/>
          <w:bCs/>
        </w:rPr>
        <w:t xml:space="preserve"> a Long-Term Insights Briefing?</w:t>
      </w:r>
    </w:p>
    <w:p w14:paraId="1EDA2582" w14:textId="7789E8CC" w:rsidR="00607C88" w:rsidRPr="00963997" w:rsidRDefault="00607C88" w:rsidP="005D59CC">
      <w:pPr>
        <w:spacing w:before="120" w:after="120" w:line="240" w:lineRule="atLeast"/>
        <w:rPr>
          <w:rFonts w:ascii="Arial" w:hAnsi="Arial" w:cs="Arial"/>
          <w:sz w:val="24"/>
        </w:rPr>
      </w:pPr>
      <w:bookmarkStart w:id="1" w:name="_Hlk75358409"/>
      <w:r w:rsidRPr="00963997">
        <w:rPr>
          <w:rFonts w:ascii="Arial" w:hAnsi="Arial" w:cs="Arial"/>
          <w:sz w:val="24"/>
        </w:rPr>
        <w:t xml:space="preserve">Youth at risk of limited employment are a group of </w:t>
      </w:r>
      <w:r w:rsidRPr="00963997">
        <w:rPr>
          <w:rFonts w:ascii="Arial" w:eastAsiaTheme="minorHAnsi" w:hAnsi="Arial" w:cs="Arial"/>
          <w:sz w:val="24"/>
          <w:lang w:val="en-NZ"/>
        </w:rPr>
        <w:t xml:space="preserve">16 to </w:t>
      </w:r>
      <w:proofErr w:type="gramStart"/>
      <w:r w:rsidRPr="00963997">
        <w:rPr>
          <w:rFonts w:ascii="Arial" w:eastAsiaTheme="minorHAnsi" w:hAnsi="Arial" w:cs="Arial"/>
          <w:sz w:val="24"/>
          <w:lang w:val="en-NZ"/>
        </w:rPr>
        <w:t>24</w:t>
      </w:r>
      <w:r w:rsidR="00525D9D">
        <w:rPr>
          <w:rFonts w:ascii="Arial" w:eastAsiaTheme="minorHAnsi" w:hAnsi="Arial" w:cs="Arial"/>
          <w:sz w:val="24"/>
          <w:lang w:val="en-NZ"/>
        </w:rPr>
        <w:t xml:space="preserve"> </w:t>
      </w:r>
      <w:r w:rsidRPr="00963997">
        <w:rPr>
          <w:rFonts w:ascii="Arial" w:eastAsiaTheme="minorHAnsi" w:hAnsi="Arial" w:cs="Arial"/>
          <w:sz w:val="24"/>
          <w:lang w:val="en-NZ"/>
        </w:rPr>
        <w:t>year</w:t>
      </w:r>
      <w:r w:rsidR="00525D9D">
        <w:rPr>
          <w:rFonts w:ascii="Arial" w:eastAsiaTheme="minorHAnsi" w:hAnsi="Arial" w:cs="Arial"/>
          <w:sz w:val="24"/>
          <w:lang w:val="en-NZ"/>
        </w:rPr>
        <w:t>-</w:t>
      </w:r>
      <w:r w:rsidRPr="00963997">
        <w:rPr>
          <w:rFonts w:ascii="Arial" w:eastAsiaTheme="minorHAnsi" w:hAnsi="Arial" w:cs="Arial"/>
          <w:sz w:val="24"/>
          <w:lang w:val="en-NZ"/>
        </w:rPr>
        <w:t>olds</w:t>
      </w:r>
      <w:proofErr w:type="gramEnd"/>
      <w:r w:rsidRPr="00963997">
        <w:rPr>
          <w:rFonts w:ascii="Arial" w:eastAsiaTheme="minorHAnsi" w:hAnsi="Arial" w:cs="Arial"/>
          <w:sz w:val="24"/>
          <w:lang w:val="en-NZ"/>
        </w:rPr>
        <w:t xml:space="preserve"> </w:t>
      </w:r>
      <w:r w:rsidRPr="00963997">
        <w:rPr>
          <w:rFonts w:ascii="Arial" w:hAnsi="Arial" w:cs="Arial"/>
          <w:sz w:val="24"/>
        </w:rPr>
        <w:t>who cycle between low-paid short-term jobs, intermittent unemployment and/or low-level tertiary education.</w:t>
      </w:r>
    </w:p>
    <w:p w14:paraId="203F76E5" w14:textId="7DF139EC" w:rsidR="00607C88" w:rsidRPr="00963997" w:rsidRDefault="008D0FB5" w:rsidP="005D59CC">
      <w:pPr>
        <w:pStyle w:val="ListParagraph"/>
        <w:spacing w:before="120" w:after="120" w:line="240" w:lineRule="atLeast"/>
        <w:ind w:left="0"/>
        <w:contextualSpacing w:val="0"/>
        <w:rPr>
          <w:rFonts w:ascii="Arial" w:hAnsi="Arial" w:cs="Arial"/>
          <w:sz w:val="24"/>
          <w:szCs w:val="24"/>
        </w:rPr>
      </w:pPr>
      <w:r>
        <w:rPr>
          <w:rFonts w:ascii="Arial" w:hAnsi="Arial" w:cs="Arial"/>
          <w:sz w:val="24"/>
          <w:szCs w:val="24"/>
        </w:rPr>
        <w:t xml:space="preserve">Young people at risk of limited employment </w:t>
      </w:r>
      <w:bookmarkStart w:id="2" w:name="_Hlk75860355"/>
      <w:r>
        <w:rPr>
          <w:rFonts w:ascii="Arial" w:hAnsi="Arial" w:cs="Arial"/>
          <w:sz w:val="24"/>
          <w:szCs w:val="24"/>
        </w:rPr>
        <w:t xml:space="preserve">often </w:t>
      </w:r>
      <w:r w:rsidR="00607C88" w:rsidRPr="00963997">
        <w:rPr>
          <w:rFonts w:ascii="Arial" w:hAnsi="Arial" w:cs="Arial"/>
          <w:sz w:val="24"/>
          <w:szCs w:val="24"/>
        </w:rPr>
        <w:t xml:space="preserve">lack access and opportunity through barriers they have no control over, not through lack of ability or potential to succeed. </w:t>
      </w:r>
    </w:p>
    <w:bookmarkEnd w:id="2"/>
    <w:p w14:paraId="639A4DE5" w14:textId="77777777" w:rsidR="00607C88" w:rsidRDefault="00607C88" w:rsidP="005D59CC">
      <w:pPr>
        <w:pStyle w:val="ListParagraph"/>
        <w:spacing w:before="120" w:after="120" w:line="240" w:lineRule="atLeast"/>
        <w:ind w:left="0"/>
        <w:contextualSpacing w:val="0"/>
        <w:rPr>
          <w:rFonts w:ascii="Arial" w:hAnsi="Arial" w:cs="Arial"/>
          <w:sz w:val="24"/>
          <w:szCs w:val="24"/>
        </w:rPr>
      </w:pPr>
      <w:r w:rsidRPr="00963997">
        <w:rPr>
          <w:rFonts w:ascii="Arial" w:hAnsi="Arial" w:cs="Arial"/>
          <w:sz w:val="24"/>
          <w:szCs w:val="24"/>
        </w:rPr>
        <w:t xml:space="preserve">The group includes some young people who are not in employment, </w:t>
      </w:r>
      <w:proofErr w:type="gramStart"/>
      <w:r w:rsidRPr="00963997">
        <w:rPr>
          <w:rFonts w:ascii="Arial" w:hAnsi="Arial" w:cs="Arial"/>
          <w:sz w:val="24"/>
          <w:szCs w:val="24"/>
        </w:rPr>
        <w:t>education</w:t>
      </w:r>
      <w:proofErr w:type="gramEnd"/>
      <w:r w:rsidRPr="00963997">
        <w:rPr>
          <w:rFonts w:ascii="Arial" w:hAnsi="Arial" w:cs="Arial"/>
          <w:sz w:val="24"/>
          <w:szCs w:val="24"/>
        </w:rPr>
        <w:t xml:space="preserve"> or training (NEET). Focusing on youth at risk of limited employment rather than NEETs gives a wider view of young people’s experiences over time, rather than at one point in time. It excludes some NEETs at lower risk of limited employment, such as young people briefly in between jobs or those with a qualification at level 5 or above. It also adds others, such as young people in short-term, low-paid jobs.</w:t>
      </w:r>
    </w:p>
    <w:p w14:paraId="69439B70" w14:textId="710414E9" w:rsidR="00607C88" w:rsidRPr="00963997" w:rsidRDefault="00607C88" w:rsidP="005D59CC">
      <w:pPr>
        <w:pStyle w:val="ListParagraph"/>
        <w:spacing w:before="120" w:after="120" w:line="240" w:lineRule="atLeast"/>
        <w:ind w:left="0"/>
        <w:contextualSpacing w:val="0"/>
        <w:rPr>
          <w:rFonts w:ascii="Arial" w:hAnsi="Arial" w:cs="Arial"/>
          <w:sz w:val="24"/>
          <w:szCs w:val="24"/>
        </w:rPr>
      </w:pPr>
      <w:bookmarkStart w:id="3" w:name="_Hlk75860400"/>
      <w:bookmarkStart w:id="4" w:name="_Hlk75358453"/>
      <w:bookmarkEnd w:id="1"/>
      <w:r w:rsidRPr="00963997">
        <w:rPr>
          <w:rFonts w:ascii="Arial" w:hAnsi="Arial" w:cs="Arial"/>
          <w:sz w:val="24"/>
          <w:szCs w:val="24"/>
        </w:rPr>
        <w:t xml:space="preserve">Research shows young people who get stuck in this cycle at the start of their working lives are much more likely to continue this pattern into </w:t>
      </w:r>
      <w:r w:rsidR="008D0FB5">
        <w:rPr>
          <w:rFonts w:ascii="Arial" w:hAnsi="Arial" w:cs="Arial"/>
          <w:sz w:val="24"/>
          <w:szCs w:val="24"/>
        </w:rPr>
        <w:t xml:space="preserve">later </w:t>
      </w:r>
      <w:r w:rsidRPr="00963997">
        <w:rPr>
          <w:rFonts w:ascii="Arial" w:hAnsi="Arial" w:cs="Arial"/>
          <w:sz w:val="24"/>
          <w:szCs w:val="24"/>
        </w:rPr>
        <w:t xml:space="preserve">adulthood. </w:t>
      </w:r>
      <w:bookmarkEnd w:id="3"/>
      <w:r w:rsidRPr="00963997">
        <w:rPr>
          <w:rFonts w:ascii="Arial" w:hAnsi="Arial" w:cs="Arial"/>
          <w:sz w:val="24"/>
          <w:szCs w:val="24"/>
        </w:rPr>
        <w:t>If not effectively supported, they are more likely to be in low wage, limited or no employment for much of their lives.</w:t>
      </w:r>
    </w:p>
    <w:bookmarkEnd w:id="4"/>
    <w:p w14:paraId="61AF0AC7" w14:textId="560A4EBD" w:rsidR="00607C88" w:rsidRPr="00963997" w:rsidRDefault="00607C88" w:rsidP="005D59CC">
      <w:pPr>
        <w:pStyle w:val="ListParagraph"/>
        <w:spacing w:before="120" w:after="120" w:line="240" w:lineRule="atLeast"/>
        <w:ind w:left="0"/>
        <w:contextualSpacing w:val="0"/>
        <w:rPr>
          <w:rFonts w:ascii="Arial" w:hAnsi="Arial" w:cs="Arial"/>
          <w:sz w:val="24"/>
          <w:szCs w:val="24"/>
        </w:rPr>
      </w:pPr>
      <w:r w:rsidRPr="00963997">
        <w:rPr>
          <w:rFonts w:ascii="Arial" w:hAnsi="Arial" w:cs="Arial"/>
          <w:sz w:val="24"/>
          <w:szCs w:val="24"/>
        </w:rPr>
        <w:t xml:space="preserve">This can limit their potential to gain skills and experiences that could open the doors to more opportunities. By better supporting young people to gain higher skills and </w:t>
      </w:r>
      <w:r w:rsidR="00FD69B2">
        <w:rPr>
          <w:rFonts w:ascii="Arial" w:hAnsi="Arial" w:cs="Arial"/>
          <w:sz w:val="24"/>
          <w:szCs w:val="24"/>
        </w:rPr>
        <w:t xml:space="preserve">quality </w:t>
      </w:r>
      <w:r w:rsidRPr="00963997">
        <w:rPr>
          <w:rFonts w:ascii="Arial" w:hAnsi="Arial" w:cs="Arial"/>
          <w:sz w:val="24"/>
          <w:szCs w:val="24"/>
        </w:rPr>
        <w:t xml:space="preserve">work experience, </w:t>
      </w:r>
      <w:r w:rsidR="008D0FB5">
        <w:rPr>
          <w:rFonts w:ascii="Arial" w:hAnsi="Arial" w:cs="Arial"/>
          <w:sz w:val="24"/>
          <w:szCs w:val="24"/>
        </w:rPr>
        <w:t>government</w:t>
      </w:r>
      <w:r w:rsidRPr="00963997">
        <w:rPr>
          <w:rFonts w:ascii="Arial" w:hAnsi="Arial" w:cs="Arial"/>
          <w:sz w:val="24"/>
          <w:szCs w:val="24"/>
        </w:rPr>
        <w:t xml:space="preserve"> will be able to </w:t>
      </w:r>
      <w:r w:rsidR="008D0FB5">
        <w:rPr>
          <w:rFonts w:ascii="Arial" w:hAnsi="Arial" w:cs="Arial"/>
          <w:sz w:val="24"/>
          <w:szCs w:val="24"/>
        </w:rPr>
        <w:t>support</w:t>
      </w:r>
      <w:r w:rsidRPr="00963997">
        <w:rPr>
          <w:rFonts w:ascii="Arial" w:hAnsi="Arial" w:cs="Arial"/>
          <w:sz w:val="24"/>
          <w:szCs w:val="24"/>
        </w:rPr>
        <w:t xml:space="preserve"> them </w:t>
      </w:r>
      <w:r w:rsidR="008D0FB5">
        <w:rPr>
          <w:rFonts w:ascii="Arial" w:hAnsi="Arial" w:cs="Arial"/>
          <w:sz w:val="24"/>
          <w:szCs w:val="24"/>
        </w:rPr>
        <w:t xml:space="preserve">to </w:t>
      </w:r>
      <w:r w:rsidRPr="00963997">
        <w:rPr>
          <w:rFonts w:ascii="Arial" w:hAnsi="Arial" w:cs="Arial"/>
          <w:sz w:val="24"/>
          <w:szCs w:val="24"/>
        </w:rPr>
        <w:t>achieve longer-term employment</w:t>
      </w:r>
      <w:r w:rsidR="008D0FB5">
        <w:rPr>
          <w:rFonts w:ascii="Arial" w:hAnsi="Arial" w:cs="Arial"/>
          <w:sz w:val="24"/>
          <w:szCs w:val="24"/>
        </w:rPr>
        <w:t>. This could also support young people to achieve b</w:t>
      </w:r>
      <w:r w:rsidRPr="00963997">
        <w:rPr>
          <w:rFonts w:ascii="Arial" w:hAnsi="Arial" w:cs="Arial"/>
          <w:sz w:val="24"/>
          <w:szCs w:val="24"/>
        </w:rPr>
        <w:t xml:space="preserve">etter outcomes in other areas such as housing, health and overall individual and whānau wellbeing. </w:t>
      </w:r>
    </w:p>
    <w:p w14:paraId="133D4E23" w14:textId="7B10273B" w:rsidR="00607C88" w:rsidRPr="00963997" w:rsidRDefault="00FD69B2" w:rsidP="005D59CC">
      <w:pPr>
        <w:pStyle w:val="ListParagraph"/>
        <w:spacing w:before="120" w:after="120" w:line="240" w:lineRule="atLeast"/>
        <w:ind w:left="0"/>
        <w:contextualSpacing w:val="0"/>
        <w:rPr>
          <w:rFonts w:ascii="Arial" w:hAnsi="Arial" w:cs="Arial"/>
          <w:sz w:val="24"/>
          <w:szCs w:val="24"/>
        </w:rPr>
      </w:pPr>
      <w:r w:rsidRPr="00FD69B2">
        <w:rPr>
          <w:rFonts w:ascii="Arial" w:hAnsi="Arial" w:cs="Arial"/>
          <w:sz w:val="24"/>
          <w:szCs w:val="24"/>
        </w:rPr>
        <w:t>We know that there are a disproportionate number of Māori in this group of young people</w:t>
      </w:r>
      <w:r>
        <w:rPr>
          <w:rFonts w:ascii="Arial" w:hAnsi="Arial" w:cs="Arial"/>
          <w:sz w:val="24"/>
          <w:szCs w:val="24"/>
        </w:rPr>
        <w:t xml:space="preserve">. </w:t>
      </w:r>
      <w:r w:rsidR="00607C88" w:rsidRPr="00963997">
        <w:rPr>
          <w:rFonts w:ascii="Arial" w:hAnsi="Arial" w:cs="Arial"/>
          <w:sz w:val="24"/>
          <w:szCs w:val="24"/>
        </w:rPr>
        <w:t xml:space="preserve">Successful government supports for </w:t>
      </w:r>
      <w:r>
        <w:rPr>
          <w:rFonts w:ascii="Arial" w:hAnsi="Arial" w:cs="Arial"/>
          <w:sz w:val="24"/>
          <w:szCs w:val="24"/>
        </w:rPr>
        <w:t>youth at risk of limited employment</w:t>
      </w:r>
      <w:r w:rsidR="00607C88" w:rsidRPr="00963997">
        <w:rPr>
          <w:rFonts w:ascii="Arial" w:hAnsi="Arial" w:cs="Arial"/>
          <w:sz w:val="24"/>
          <w:szCs w:val="24"/>
        </w:rPr>
        <w:t xml:space="preserve"> will help meet our obligations under Te </w:t>
      </w:r>
      <w:proofErr w:type="spellStart"/>
      <w:r w:rsidR="00607C88" w:rsidRPr="00963997">
        <w:rPr>
          <w:rFonts w:ascii="Arial" w:hAnsi="Arial" w:cs="Arial"/>
          <w:sz w:val="24"/>
          <w:szCs w:val="24"/>
        </w:rPr>
        <w:t>Tiriti</w:t>
      </w:r>
      <w:proofErr w:type="spellEnd"/>
      <w:r w:rsidR="00607C88" w:rsidRPr="00963997">
        <w:rPr>
          <w:rFonts w:ascii="Arial" w:hAnsi="Arial" w:cs="Arial"/>
          <w:sz w:val="24"/>
          <w:szCs w:val="24"/>
        </w:rPr>
        <w:t xml:space="preserve"> o Waitangi/The Treaty of Waitangi. </w:t>
      </w:r>
    </w:p>
    <w:p w14:paraId="2749928A" w14:textId="1A96C7A7" w:rsidR="00607C88" w:rsidRPr="00607C88" w:rsidRDefault="00607C88" w:rsidP="005D59CC">
      <w:pPr>
        <w:pStyle w:val="Heading1"/>
        <w:spacing w:before="120" w:after="120" w:line="240" w:lineRule="atLeast"/>
        <w:rPr>
          <w:b/>
          <w:bCs/>
        </w:rPr>
      </w:pPr>
      <w:r w:rsidRPr="00607C88">
        <w:rPr>
          <w:b/>
          <w:bCs/>
        </w:rPr>
        <w:lastRenderedPageBreak/>
        <w:t>Numbers and distribution of youth at risk of limited employment</w:t>
      </w:r>
    </w:p>
    <w:p w14:paraId="2B717374" w14:textId="52F54AF6" w:rsidR="00607C88" w:rsidRPr="00963997" w:rsidRDefault="00607C88" w:rsidP="005D59CC">
      <w:pPr>
        <w:pStyle w:val="Heading2"/>
        <w:spacing w:before="120" w:after="120" w:line="240" w:lineRule="atLeast"/>
        <w:rPr>
          <w:rFonts w:ascii="Arial" w:hAnsi="Arial" w:cs="Arial"/>
        </w:rPr>
      </w:pPr>
      <w:r w:rsidRPr="00963997">
        <w:rPr>
          <w:rFonts w:ascii="Arial" w:hAnsi="Arial" w:cs="Arial"/>
        </w:rPr>
        <w:t>Numbers</w:t>
      </w:r>
    </w:p>
    <w:p w14:paraId="3A66FD5C" w14:textId="2C2FB3B5" w:rsidR="00607C88" w:rsidRPr="00963997" w:rsidRDefault="00607C88" w:rsidP="005D59CC">
      <w:pPr>
        <w:spacing w:before="120" w:after="120" w:line="240" w:lineRule="atLeast"/>
        <w:rPr>
          <w:rFonts w:ascii="Arial" w:eastAsiaTheme="minorHAnsi" w:hAnsi="Arial" w:cs="Arial"/>
          <w:sz w:val="24"/>
          <w:lang w:val="en-NZ"/>
        </w:rPr>
      </w:pPr>
      <w:r w:rsidRPr="00963997">
        <w:rPr>
          <w:rFonts w:ascii="Arial" w:eastAsiaTheme="minorHAnsi" w:hAnsi="Arial" w:cs="Arial"/>
          <w:sz w:val="24"/>
          <w:lang w:val="en-NZ"/>
        </w:rPr>
        <w:t xml:space="preserve">Research by the Ministry of Education estimated that in 2015 there were 52,200 </w:t>
      </w:r>
      <w:proofErr w:type="gramStart"/>
      <w:r w:rsidRPr="00963997">
        <w:rPr>
          <w:rFonts w:ascii="Arial" w:eastAsiaTheme="minorHAnsi" w:hAnsi="Arial" w:cs="Arial"/>
          <w:sz w:val="24"/>
          <w:lang w:val="en-NZ"/>
        </w:rPr>
        <w:t>24</w:t>
      </w:r>
      <w:r w:rsidR="00525D9D">
        <w:rPr>
          <w:rFonts w:ascii="Arial" w:eastAsiaTheme="minorHAnsi" w:hAnsi="Arial" w:cs="Arial"/>
          <w:sz w:val="24"/>
          <w:lang w:val="en-NZ"/>
        </w:rPr>
        <w:t xml:space="preserve"> </w:t>
      </w:r>
      <w:r w:rsidRPr="00963997">
        <w:rPr>
          <w:rFonts w:ascii="Arial" w:eastAsiaTheme="minorHAnsi" w:hAnsi="Arial" w:cs="Arial"/>
          <w:sz w:val="24"/>
          <w:lang w:val="en-NZ"/>
        </w:rPr>
        <w:t>year</w:t>
      </w:r>
      <w:r w:rsidR="00525D9D">
        <w:rPr>
          <w:rFonts w:ascii="Arial" w:eastAsiaTheme="minorHAnsi" w:hAnsi="Arial" w:cs="Arial"/>
          <w:sz w:val="24"/>
          <w:lang w:val="en-NZ"/>
        </w:rPr>
        <w:t>-</w:t>
      </w:r>
      <w:r w:rsidRPr="00963997">
        <w:rPr>
          <w:rFonts w:ascii="Arial" w:eastAsiaTheme="minorHAnsi" w:hAnsi="Arial" w:cs="Arial"/>
          <w:sz w:val="24"/>
          <w:lang w:val="en-NZ"/>
        </w:rPr>
        <w:t>olds</w:t>
      </w:r>
      <w:proofErr w:type="gramEnd"/>
      <w:r w:rsidRPr="00963997">
        <w:rPr>
          <w:rFonts w:ascii="Arial" w:eastAsiaTheme="minorHAnsi" w:hAnsi="Arial" w:cs="Arial"/>
          <w:sz w:val="24"/>
          <w:lang w:val="en-NZ"/>
        </w:rPr>
        <w:t xml:space="preserve"> in New Zealand.</w:t>
      </w:r>
      <w:r w:rsidRPr="00963997">
        <w:rPr>
          <w:rStyle w:val="FootnoteReference"/>
          <w:rFonts w:ascii="Arial" w:eastAsiaTheme="minorHAnsi" w:hAnsi="Arial" w:cs="Arial"/>
          <w:sz w:val="24"/>
          <w:lang w:val="en-NZ"/>
        </w:rPr>
        <w:footnoteReference w:id="2"/>
      </w:r>
      <w:r w:rsidRPr="00963997">
        <w:rPr>
          <w:rFonts w:ascii="Arial" w:eastAsiaTheme="minorHAnsi" w:hAnsi="Arial" w:cs="Arial"/>
          <w:sz w:val="24"/>
          <w:lang w:val="en-NZ"/>
        </w:rPr>
        <w:t xml:space="preserve"> Of these 24</w:t>
      </w:r>
      <w:r w:rsidR="00525D9D">
        <w:rPr>
          <w:rFonts w:ascii="Arial" w:eastAsiaTheme="minorHAnsi" w:hAnsi="Arial" w:cs="Arial"/>
          <w:sz w:val="24"/>
          <w:lang w:val="en-NZ"/>
        </w:rPr>
        <w:t xml:space="preserve"> </w:t>
      </w:r>
      <w:r w:rsidRPr="00963997">
        <w:rPr>
          <w:rFonts w:ascii="Arial" w:eastAsiaTheme="minorHAnsi" w:hAnsi="Arial" w:cs="Arial"/>
          <w:sz w:val="24"/>
          <w:lang w:val="en-NZ"/>
        </w:rPr>
        <w:t xml:space="preserve">year-olds, there </w:t>
      </w:r>
      <w:r w:rsidRPr="00963997">
        <w:rPr>
          <w:rFonts w:ascii="Arial" w:hAnsi="Arial" w:cs="Arial"/>
          <w:sz w:val="24"/>
        </w:rPr>
        <w:t>were:</w:t>
      </w:r>
    </w:p>
    <w:p w14:paraId="1C12928F" w14:textId="77777777" w:rsidR="00607C88" w:rsidRPr="00963997" w:rsidRDefault="00607C88" w:rsidP="005D59CC">
      <w:pPr>
        <w:pStyle w:val="ListParagraph"/>
        <w:numPr>
          <w:ilvl w:val="0"/>
          <w:numId w:val="74"/>
        </w:numPr>
        <w:spacing w:before="120" w:after="120" w:line="240" w:lineRule="atLeast"/>
        <w:contextualSpacing w:val="0"/>
        <w:rPr>
          <w:rFonts w:ascii="Arial" w:hAnsi="Arial" w:cs="Arial"/>
          <w:sz w:val="24"/>
          <w:szCs w:val="24"/>
        </w:rPr>
      </w:pPr>
      <w:r w:rsidRPr="00963997">
        <w:rPr>
          <w:rFonts w:ascii="Arial" w:hAnsi="Arial" w:cs="Arial"/>
          <w:sz w:val="24"/>
          <w:szCs w:val="24"/>
        </w:rPr>
        <w:t>4,000 at high risk of limited employment</w:t>
      </w:r>
    </w:p>
    <w:p w14:paraId="0F8D2D27" w14:textId="77777777" w:rsidR="00607C88" w:rsidRPr="00963997" w:rsidRDefault="00607C88" w:rsidP="005D59CC">
      <w:pPr>
        <w:pStyle w:val="ListParagraph"/>
        <w:numPr>
          <w:ilvl w:val="0"/>
          <w:numId w:val="74"/>
        </w:numPr>
        <w:spacing w:before="120" w:after="120" w:line="240" w:lineRule="atLeast"/>
        <w:contextualSpacing w:val="0"/>
        <w:rPr>
          <w:rFonts w:ascii="Arial" w:hAnsi="Arial" w:cs="Arial"/>
          <w:sz w:val="24"/>
          <w:szCs w:val="24"/>
        </w:rPr>
      </w:pPr>
      <w:r w:rsidRPr="00963997">
        <w:rPr>
          <w:rFonts w:ascii="Arial" w:hAnsi="Arial" w:cs="Arial"/>
          <w:sz w:val="24"/>
          <w:szCs w:val="24"/>
        </w:rPr>
        <w:t>7,600 at medium risk of limited employment</w:t>
      </w:r>
    </w:p>
    <w:p w14:paraId="3609E34C" w14:textId="77777777" w:rsidR="00607C88" w:rsidRPr="00963997" w:rsidRDefault="00607C88" w:rsidP="005D59CC">
      <w:pPr>
        <w:pStyle w:val="ListParagraph"/>
        <w:numPr>
          <w:ilvl w:val="0"/>
          <w:numId w:val="74"/>
        </w:numPr>
        <w:spacing w:before="120" w:after="120" w:line="240" w:lineRule="atLeast"/>
        <w:contextualSpacing w:val="0"/>
        <w:rPr>
          <w:rFonts w:ascii="Arial" w:hAnsi="Arial" w:cs="Arial"/>
          <w:sz w:val="24"/>
          <w:szCs w:val="24"/>
        </w:rPr>
      </w:pPr>
      <w:r w:rsidRPr="00963997">
        <w:rPr>
          <w:rFonts w:ascii="Arial" w:hAnsi="Arial" w:cs="Arial"/>
          <w:sz w:val="24"/>
          <w:szCs w:val="24"/>
        </w:rPr>
        <w:t>6,200 at low risk of limited employment</w:t>
      </w:r>
      <w:r>
        <w:rPr>
          <w:rFonts w:ascii="Arial" w:hAnsi="Arial" w:cs="Arial"/>
          <w:sz w:val="24"/>
          <w:szCs w:val="24"/>
        </w:rPr>
        <w:t>.</w:t>
      </w:r>
    </w:p>
    <w:p w14:paraId="3461A1F1" w14:textId="4B5C2E33" w:rsidR="00607C88" w:rsidRPr="00963997" w:rsidRDefault="00607C88" w:rsidP="005D59CC">
      <w:pPr>
        <w:pStyle w:val="ListParagraph"/>
        <w:spacing w:before="120" w:after="120" w:line="240" w:lineRule="atLeast"/>
        <w:ind w:left="0"/>
        <w:contextualSpacing w:val="0"/>
        <w:rPr>
          <w:rFonts w:ascii="Arial" w:hAnsi="Arial" w:cs="Arial"/>
          <w:sz w:val="24"/>
          <w:szCs w:val="24"/>
        </w:rPr>
      </w:pPr>
      <w:r w:rsidRPr="00963997">
        <w:rPr>
          <w:rFonts w:ascii="Arial" w:hAnsi="Arial" w:cs="Arial"/>
          <w:sz w:val="24"/>
          <w:szCs w:val="24"/>
        </w:rPr>
        <w:t xml:space="preserve">Estimating the number of 16 to </w:t>
      </w:r>
      <w:proofErr w:type="gramStart"/>
      <w:r w:rsidRPr="00963997">
        <w:rPr>
          <w:rFonts w:ascii="Arial" w:hAnsi="Arial" w:cs="Arial"/>
          <w:sz w:val="24"/>
          <w:szCs w:val="24"/>
        </w:rPr>
        <w:t>24</w:t>
      </w:r>
      <w:r w:rsidR="00525D9D">
        <w:rPr>
          <w:rFonts w:ascii="Arial" w:hAnsi="Arial" w:cs="Arial"/>
          <w:sz w:val="24"/>
          <w:szCs w:val="24"/>
        </w:rPr>
        <w:t xml:space="preserve"> </w:t>
      </w:r>
      <w:r w:rsidRPr="00963997">
        <w:rPr>
          <w:rFonts w:ascii="Arial" w:hAnsi="Arial" w:cs="Arial"/>
          <w:sz w:val="24"/>
          <w:szCs w:val="24"/>
        </w:rPr>
        <w:t>year-olds</w:t>
      </w:r>
      <w:proofErr w:type="gramEnd"/>
      <w:r w:rsidRPr="00963997">
        <w:rPr>
          <w:rFonts w:ascii="Arial" w:hAnsi="Arial" w:cs="Arial"/>
          <w:sz w:val="24"/>
          <w:szCs w:val="24"/>
        </w:rPr>
        <w:t xml:space="preserve"> in each risk group is difficult because it tries to predict future outcomes (identifying a young person as a NEET is easier because it is based on the person’s current situation). However, based on computer modelling, out of 513,000 16 to </w:t>
      </w:r>
      <w:proofErr w:type="gramStart"/>
      <w:r w:rsidRPr="00963997">
        <w:rPr>
          <w:rFonts w:ascii="Arial" w:hAnsi="Arial" w:cs="Arial"/>
          <w:sz w:val="24"/>
          <w:szCs w:val="24"/>
        </w:rPr>
        <w:t>24</w:t>
      </w:r>
      <w:r w:rsidR="00525D9D">
        <w:rPr>
          <w:rFonts w:ascii="Arial" w:hAnsi="Arial" w:cs="Arial"/>
          <w:sz w:val="24"/>
          <w:szCs w:val="24"/>
        </w:rPr>
        <w:t xml:space="preserve"> </w:t>
      </w:r>
      <w:r w:rsidRPr="00963997">
        <w:rPr>
          <w:rFonts w:ascii="Arial" w:hAnsi="Arial" w:cs="Arial"/>
          <w:sz w:val="24"/>
          <w:szCs w:val="24"/>
        </w:rPr>
        <w:t>year-olds</w:t>
      </w:r>
      <w:proofErr w:type="gramEnd"/>
      <w:r w:rsidRPr="00963997">
        <w:rPr>
          <w:rFonts w:ascii="Arial" w:hAnsi="Arial" w:cs="Arial"/>
          <w:sz w:val="24"/>
          <w:szCs w:val="24"/>
        </w:rPr>
        <w:t xml:space="preserve"> in 2015, 134,000 were in limited employment during the year. Of these 16 to </w:t>
      </w:r>
      <w:proofErr w:type="gramStart"/>
      <w:r w:rsidRPr="00963997">
        <w:rPr>
          <w:rFonts w:ascii="Arial" w:hAnsi="Arial" w:cs="Arial"/>
          <w:sz w:val="24"/>
          <w:szCs w:val="24"/>
        </w:rPr>
        <w:t>24</w:t>
      </w:r>
      <w:r w:rsidR="00525D9D">
        <w:rPr>
          <w:rFonts w:ascii="Arial" w:hAnsi="Arial" w:cs="Arial"/>
          <w:sz w:val="24"/>
          <w:szCs w:val="24"/>
        </w:rPr>
        <w:t xml:space="preserve"> </w:t>
      </w:r>
      <w:r w:rsidRPr="00963997">
        <w:rPr>
          <w:rFonts w:ascii="Arial" w:hAnsi="Arial" w:cs="Arial"/>
          <w:sz w:val="24"/>
          <w:szCs w:val="24"/>
        </w:rPr>
        <w:t>year-olds</w:t>
      </w:r>
      <w:proofErr w:type="gramEnd"/>
      <w:r w:rsidR="005A4A4F">
        <w:rPr>
          <w:rFonts w:ascii="Arial" w:hAnsi="Arial" w:cs="Arial"/>
          <w:sz w:val="24"/>
          <w:szCs w:val="24"/>
        </w:rPr>
        <w:t>:</w:t>
      </w:r>
      <w:r w:rsidRPr="00963997">
        <w:rPr>
          <w:rFonts w:ascii="Arial" w:hAnsi="Arial" w:cs="Arial"/>
          <w:sz w:val="24"/>
          <w:szCs w:val="24"/>
        </w:rPr>
        <w:t xml:space="preserve"> </w:t>
      </w:r>
    </w:p>
    <w:p w14:paraId="208E7165" w14:textId="77777777" w:rsidR="00607C88" w:rsidRPr="00963997" w:rsidRDefault="00607C88" w:rsidP="005D59CC">
      <w:pPr>
        <w:pStyle w:val="ListParagraph"/>
        <w:numPr>
          <w:ilvl w:val="0"/>
          <w:numId w:val="73"/>
        </w:numPr>
        <w:spacing w:before="120" w:after="120" w:line="240" w:lineRule="atLeast"/>
        <w:contextualSpacing w:val="0"/>
        <w:rPr>
          <w:rFonts w:ascii="Arial" w:hAnsi="Arial" w:cs="Arial"/>
          <w:sz w:val="24"/>
          <w:szCs w:val="24"/>
        </w:rPr>
      </w:pPr>
      <w:r w:rsidRPr="00963997">
        <w:rPr>
          <w:rFonts w:ascii="Arial" w:hAnsi="Arial" w:cs="Arial"/>
          <w:sz w:val="24"/>
          <w:szCs w:val="24"/>
        </w:rPr>
        <w:t>26,000 were high risk</w:t>
      </w:r>
    </w:p>
    <w:p w14:paraId="13A0F72D" w14:textId="77777777" w:rsidR="00607C88" w:rsidRPr="00963997" w:rsidRDefault="00607C88" w:rsidP="005D59CC">
      <w:pPr>
        <w:pStyle w:val="ListParagraph"/>
        <w:numPr>
          <w:ilvl w:val="0"/>
          <w:numId w:val="73"/>
        </w:numPr>
        <w:spacing w:before="120" w:after="120" w:line="240" w:lineRule="atLeast"/>
        <w:contextualSpacing w:val="0"/>
        <w:rPr>
          <w:rFonts w:ascii="Arial" w:hAnsi="Arial" w:cs="Arial"/>
          <w:sz w:val="24"/>
          <w:szCs w:val="24"/>
        </w:rPr>
      </w:pPr>
      <w:r w:rsidRPr="00963997">
        <w:rPr>
          <w:rFonts w:ascii="Arial" w:hAnsi="Arial" w:cs="Arial"/>
          <w:sz w:val="24"/>
          <w:szCs w:val="24"/>
        </w:rPr>
        <w:t>51,000 were medium risk</w:t>
      </w:r>
    </w:p>
    <w:p w14:paraId="213737C4" w14:textId="77777777" w:rsidR="00607C88" w:rsidRPr="00963997" w:rsidRDefault="00607C88" w:rsidP="005D59CC">
      <w:pPr>
        <w:pStyle w:val="ListParagraph"/>
        <w:numPr>
          <w:ilvl w:val="0"/>
          <w:numId w:val="73"/>
        </w:numPr>
        <w:spacing w:before="120" w:after="120" w:line="240" w:lineRule="atLeast"/>
        <w:contextualSpacing w:val="0"/>
        <w:rPr>
          <w:rFonts w:ascii="Arial" w:hAnsi="Arial" w:cs="Arial"/>
          <w:sz w:val="24"/>
          <w:szCs w:val="24"/>
        </w:rPr>
      </w:pPr>
      <w:r w:rsidRPr="00963997">
        <w:rPr>
          <w:rFonts w:ascii="Arial" w:hAnsi="Arial" w:cs="Arial"/>
          <w:sz w:val="24"/>
          <w:szCs w:val="24"/>
        </w:rPr>
        <w:t>57,000 were low risk.</w:t>
      </w:r>
    </w:p>
    <w:p w14:paraId="5E631971" w14:textId="77777777" w:rsidR="00607C88" w:rsidRPr="00963997" w:rsidRDefault="00607C88" w:rsidP="005D59CC">
      <w:pPr>
        <w:pStyle w:val="Heading2"/>
        <w:spacing w:before="120" w:after="120" w:line="240" w:lineRule="atLeast"/>
        <w:rPr>
          <w:rFonts w:ascii="Arial" w:hAnsi="Arial" w:cs="Arial"/>
        </w:rPr>
      </w:pPr>
      <w:r w:rsidRPr="00963997">
        <w:rPr>
          <w:rFonts w:ascii="Arial" w:hAnsi="Arial" w:cs="Arial"/>
        </w:rPr>
        <w:t>Distribution</w:t>
      </w:r>
    </w:p>
    <w:p w14:paraId="1AD3E995" w14:textId="77777777" w:rsidR="00607C88" w:rsidRPr="00963997" w:rsidRDefault="00607C88" w:rsidP="005D59CC">
      <w:pPr>
        <w:pStyle w:val="ListParagraph"/>
        <w:spacing w:before="120" w:after="120" w:line="240" w:lineRule="atLeast"/>
        <w:ind w:left="0"/>
        <w:contextualSpacing w:val="0"/>
        <w:rPr>
          <w:rFonts w:ascii="Arial" w:hAnsi="Arial" w:cs="Arial"/>
          <w:sz w:val="24"/>
          <w:szCs w:val="24"/>
        </w:rPr>
      </w:pPr>
      <w:r w:rsidRPr="00963997">
        <w:rPr>
          <w:rFonts w:ascii="Arial" w:hAnsi="Arial" w:cs="Arial"/>
          <w:sz w:val="24"/>
          <w:szCs w:val="24"/>
        </w:rPr>
        <w:t xml:space="preserve">The distribution of youth at risk of limited employment varies across the country. In 2015: </w:t>
      </w:r>
    </w:p>
    <w:p w14:paraId="4EB4B153" w14:textId="2324A314" w:rsidR="00607C88" w:rsidRPr="00963997" w:rsidRDefault="00607C88" w:rsidP="005D59CC">
      <w:pPr>
        <w:numPr>
          <w:ilvl w:val="1"/>
          <w:numId w:val="4"/>
        </w:numPr>
        <w:spacing w:before="120" w:after="120" w:line="240" w:lineRule="atLeast"/>
        <w:ind w:left="567" w:hanging="425"/>
        <w:rPr>
          <w:rFonts w:ascii="Arial" w:hAnsi="Arial" w:cs="Arial"/>
          <w:sz w:val="24"/>
          <w:lang w:val="en-NZ"/>
        </w:rPr>
      </w:pPr>
      <w:r w:rsidRPr="00963997">
        <w:rPr>
          <w:rFonts w:ascii="Arial" w:hAnsi="Arial" w:cs="Arial"/>
          <w:sz w:val="24"/>
          <w:lang w:val="en-NZ"/>
        </w:rPr>
        <w:t>there were a large number in the big centres: 30</w:t>
      </w:r>
      <w:r w:rsidR="00FB0B1E">
        <w:rPr>
          <w:rFonts w:ascii="Arial" w:hAnsi="Arial" w:cs="Arial"/>
          <w:sz w:val="24"/>
          <w:lang w:val="en-NZ"/>
        </w:rPr>
        <w:t xml:space="preserve">% </w:t>
      </w:r>
      <w:r w:rsidRPr="00963997">
        <w:rPr>
          <w:rFonts w:ascii="Arial" w:hAnsi="Arial" w:cs="Arial"/>
          <w:sz w:val="24"/>
          <w:lang w:val="en-NZ"/>
        </w:rPr>
        <w:t>in Auckland, 22</w:t>
      </w:r>
      <w:r w:rsidR="00FB0B1E">
        <w:rPr>
          <w:rFonts w:ascii="Arial" w:hAnsi="Arial" w:cs="Arial"/>
          <w:sz w:val="24"/>
          <w:lang w:val="en-NZ"/>
        </w:rPr>
        <w:t xml:space="preserve">% </w:t>
      </w:r>
      <w:r w:rsidRPr="00963997">
        <w:rPr>
          <w:rFonts w:ascii="Arial" w:hAnsi="Arial" w:cs="Arial"/>
          <w:sz w:val="24"/>
          <w:lang w:val="en-NZ"/>
        </w:rPr>
        <w:t>in each of the Wellington and Waikato regions.</w:t>
      </w:r>
    </w:p>
    <w:p w14:paraId="05039FD6" w14:textId="6171BEAA" w:rsidR="00607C88" w:rsidRPr="00963997" w:rsidRDefault="00607C88" w:rsidP="005D59CC">
      <w:pPr>
        <w:numPr>
          <w:ilvl w:val="1"/>
          <w:numId w:val="4"/>
        </w:numPr>
        <w:spacing w:before="120" w:after="120" w:line="240" w:lineRule="atLeast"/>
        <w:ind w:left="567" w:hanging="425"/>
        <w:rPr>
          <w:rFonts w:ascii="Arial" w:hAnsi="Arial" w:cs="Arial"/>
          <w:sz w:val="24"/>
          <w:lang w:val="en-NZ"/>
        </w:rPr>
      </w:pPr>
      <w:r w:rsidRPr="00963997">
        <w:rPr>
          <w:rFonts w:ascii="Arial" w:hAnsi="Arial" w:cs="Arial"/>
          <w:sz w:val="24"/>
          <w:lang w:val="en-NZ"/>
        </w:rPr>
        <w:t xml:space="preserve">some regions had a higher proportion of </w:t>
      </w:r>
      <w:r w:rsidRPr="00963997">
        <w:rPr>
          <w:rFonts w:ascii="Arial" w:hAnsi="Arial" w:cs="Arial"/>
          <w:sz w:val="24"/>
        </w:rPr>
        <w:t xml:space="preserve">high-risk groups. </w:t>
      </w:r>
      <w:r w:rsidRPr="00963997">
        <w:rPr>
          <w:rFonts w:ascii="Arial" w:hAnsi="Arial" w:cs="Arial"/>
          <w:sz w:val="24"/>
          <w:lang w:val="en-NZ"/>
        </w:rPr>
        <w:t>Northland and Gisborne had the highest proportions</w:t>
      </w:r>
      <w:r w:rsidR="004D05FD">
        <w:rPr>
          <w:rFonts w:ascii="Arial" w:hAnsi="Arial" w:cs="Arial"/>
          <w:sz w:val="24"/>
          <w:lang w:val="en-NZ"/>
        </w:rPr>
        <w:t>:</w:t>
      </w:r>
      <w:r w:rsidRPr="00963997">
        <w:rPr>
          <w:rFonts w:ascii="Arial" w:hAnsi="Arial" w:cs="Arial"/>
          <w:sz w:val="24"/>
          <w:lang w:val="en-NZ"/>
        </w:rPr>
        <w:t xml:space="preserve"> 25</w:t>
      </w:r>
      <w:r w:rsidR="00FB0B1E">
        <w:rPr>
          <w:rFonts w:ascii="Arial" w:hAnsi="Arial" w:cs="Arial"/>
          <w:sz w:val="24"/>
          <w:lang w:val="en-NZ"/>
        </w:rPr>
        <w:t xml:space="preserve">% </w:t>
      </w:r>
      <w:r w:rsidRPr="00963997">
        <w:rPr>
          <w:rFonts w:ascii="Arial" w:hAnsi="Arial" w:cs="Arial"/>
          <w:sz w:val="24"/>
          <w:lang w:val="en-NZ"/>
        </w:rPr>
        <w:t xml:space="preserve">of </w:t>
      </w:r>
      <w:r w:rsidRPr="00963997">
        <w:rPr>
          <w:rFonts w:ascii="Arial" w:hAnsi="Arial" w:cs="Arial"/>
          <w:sz w:val="24"/>
        </w:rPr>
        <w:t>youth at risk of limited employment in those regions</w:t>
      </w:r>
      <w:r w:rsidRPr="00963997">
        <w:rPr>
          <w:rFonts w:ascii="Arial" w:hAnsi="Arial" w:cs="Arial"/>
          <w:sz w:val="24"/>
          <w:lang w:val="en-NZ"/>
        </w:rPr>
        <w:t xml:space="preserve"> were in the medium and high-risk groups.</w:t>
      </w:r>
    </w:p>
    <w:p w14:paraId="3FC39001" w14:textId="009B2BA1" w:rsidR="005D59CC" w:rsidRDefault="005D59CC" w:rsidP="005D59CC">
      <w:pPr>
        <w:pStyle w:val="Heading2"/>
        <w:spacing w:before="120" w:after="120" w:line="240" w:lineRule="atLeast"/>
        <w:rPr>
          <w:rFonts w:ascii="Arial" w:hAnsi="Arial" w:cs="Arial"/>
        </w:rPr>
      </w:pPr>
      <w:r>
        <w:rPr>
          <w:rFonts w:ascii="Arial" w:hAnsi="Arial" w:cs="Arial"/>
        </w:rPr>
        <w:t xml:space="preserve">Risk factors </w:t>
      </w:r>
    </w:p>
    <w:p w14:paraId="4C7853CC" w14:textId="77777777" w:rsidR="005D59CC" w:rsidRDefault="005D59CC" w:rsidP="005D59CC">
      <w:pPr>
        <w:spacing w:before="120" w:after="120" w:line="240" w:lineRule="atLeast"/>
        <w:rPr>
          <w:rFonts w:ascii="Arial" w:hAnsi="Arial" w:cs="Arial"/>
          <w:sz w:val="24"/>
        </w:rPr>
      </w:pPr>
      <w:proofErr w:type="gramStart"/>
      <w:r>
        <w:rPr>
          <w:rFonts w:ascii="Arial" w:eastAsiaTheme="minorHAnsi" w:hAnsi="Arial" w:cs="Arial"/>
          <w:sz w:val="24"/>
          <w:lang w:val="en-NZ"/>
        </w:rPr>
        <w:t>A number of</w:t>
      </w:r>
      <w:proofErr w:type="gramEnd"/>
      <w:r>
        <w:rPr>
          <w:rFonts w:ascii="Arial" w:eastAsiaTheme="minorHAnsi" w:hAnsi="Arial" w:cs="Arial"/>
          <w:sz w:val="24"/>
          <w:lang w:val="en-NZ"/>
        </w:rPr>
        <w:t xml:space="preserve"> factors increase the likelihood of a young person becoming at risk of limited employment:</w:t>
      </w:r>
    </w:p>
    <w:p w14:paraId="3F33A65B" w14:textId="77777777" w:rsidR="005D59CC" w:rsidRDefault="005D59CC" w:rsidP="005D59CC">
      <w:pPr>
        <w:pStyle w:val="ListParagraph"/>
        <w:numPr>
          <w:ilvl w:val="0"/>
          <w:numId w:val="84"/>
        </w:numPr>
        <w:spacing w:before="120" w:after="120" w:line="240" w:lineRule="atLeast"/>
        <w:contextualSpacing w:val="0"/>
        <w:rPr>
          <w:rFonts w:ascii="Arial" w:hAnsi="Arial" w:cs="Arial"/>
          <w:sz w:val="24"/>
          <w:szCs w:val="24"/>
        </w:rPr>
      </w:pPr>
      <w:r>
        <w:rPr>
          <w:rFonts w:ascii="Arial" w:hAnsi="Arial" w:cs="Arial"/>
          <w:sz w:val="24"/>
          <w:szCs w:val="24"/>
        </w:rPr>
        <w:t>being the dependent child of a beneficiary for more than half their life to age 16</w:t>
      </w:r>
    </w:p>
    <w:p w14:paraId="3B81C474" w14:textId="77777777" w:rsidR="005D59CC" w:rsidRDefault="005D59CC" w:rsidP="005D59CC">
      <w:pPr>
        <w:pStyle w:val="ListParagraph"/>
        <w:numPr>
          <w:ilvl w:val="0"/>
          <w:numId w:val="84"/>
        </w:numPr>
        <w:spacing w:before="120" w:after="120" w:line="240" w:lineRule="atLeast"/>
        <w:contextualSpacing w:val="0"/>
        <w:rPr>
          <w:rFonts w:ascii="Arial" w:hAnsi="Arial" w:cs="Arial"/>
          <w:sz w:val="24"/>
          <w:szCs w:val="24"/>
        </w:rPr>
      </w:pPr>
      <w:r>
        <w:rPr>
          <w:rFonts w:ascii="Arial" w:hAnsi="Arial" w:cs="Arial"/>
          <w:sz w:val="24"/>
          <w:szCs w:val="24"/>
        </w:rPr>
        <w:t>having contact with Oranga Tamariki and/or the justice system</w:t>
      </w:r>
    </w:p>
    <w:p w14:paraId="7C5A7658" w14:textId="77777777" w:rsidR="005D59CC" w:rsidRDefault="005D59CC" w:rsidP="005D59CC">
      <w:pPr>
        <w:pStyle w:val="ListParagraph"/>
        <w:numPr>
          <w:ilvl w:val="0"/>
          <w:numId w:val="84"/>
        </w:numPr>
        <w:spacing w:before="120" w:after="120" w:line="240" w:lineRule="atLeast"/>
        <w:contextualSpacing w:val="0"/>
        <w:rPr>
          <w:rFonts w:ascii="Arial" w:hAnsi="Arial" w:cs="Arial"/>
          <w:sz w:val="24"/>
          <w:szCs w:val="24"/>
        </w:rPr>
      </w:pPr>
      <w:r>
        <w:rPr>
          <w:rFonts w:ascii="Arial" w:hAnsi="Arial" w:cs="Arial"/>
          <w:sz w:val="24"/>
          <w:szCs w:val="24"/>
        </w:rPr>
        <w:t>being a young mother</w:t>
      </w:r>
    </w:p>
    <w:p w14:paraId="357B16DD" w14:textId="77777777" w:rsidR="005D59CC" w:rsidRDefault="005D59CC" w:rsidP="005D59CC">
      <w:pPr>
        <w:pStyle w:val="ListParagraph"/>
        <w:numPr>
          <w:ilvl w:val="0"/>
          <w:numId w:val="84"/>
        </w:numPr>
        <w:spacing w:before="120" w:after="120" w:line="240" w:lineRule="atLeast"/>
        <w:contextualSpacing w:val="0"/>
        <w:rPr>
          <w:rFonts w:ascii="Arial" w:hAnsi="Arial" w:cs="Arial"/>
          <w:sz w:val="24"/>
          <w:szCs w:val="24"/>
        </w:rPr>
      </w:pPr>
      <w:r>
        <w:rPr>
          <w:rFonts w:ascii="Arial" w:hAnsi="Arial" w:cs="Arial"/>
          <w:sz w:val="24"/>
          <w:szCs w:val="24"/>
        </w:rPr>
        <w:t>leaving school with no or low qualifications (NCEA Level 1)</w:t>
      </w:r>
    </w:p>
    <w:p w14:paraId="4E28F0BB" w14:textId="77777777" w:rsidR="005D59CC" w:rsidRDefault="005D59CC" w:rsidP="005D59CC">
      <w:pPr>
        <w:pStyle w:val="ListParagraph"/>
        <w:numPr>
          <w:ilvl w:val="0"/>
          <w:numId w:val="84"/>
        </w:numPr>
        <w:spacing w:before="120" w:after="120" w:line="240" w:lineRule="atLeast"/>
        <w:contextualSpacing w:val="0"/>
        <w:rPr>
          <w:rFonts w:ascii="Arial" w:hAnsi="Arial" w:cs="Arial"/>
          <w:sz w:val="24"/>
          <w:szCs w:val="24"/>
        </w:rPr>
      </w:pPr>
      <w:r>
        <w:rPr>
          <w:rFonts w:ascii="Arial" w:hAnsi="Arial" w:cs="Arial"/>
          <w:sz w:val="24"/>
          <w:szCs w:val="24"/>
        </w:rPr>
        <w:t>having been stood down from school, suspended or truant at school</w:t>
      </w:r>
    </w:p>
    <w:p w14:paraId="13A8049D" w14:textId="77777777" w:rsidR="005D59CC" w:rsidRDefault="005D59CC" w:rsidP="005D59CC">
      <w:pPr>
        <w:pStyle w:val="ListParagraph"/>
        <w:numPr>
          <w:ilvl w:val="0"/>
          <w:numId w:val="84"/>
        </w:numPr>
        <w:spacing w:before="120" w:after="120" w:line="240" w:lineRule="atLeast"/>
        <w:contextualSpacing w:val="0"/>
        <w:rPr>
          <w:rFonts w:ascii="Arial" w:hAnsi="Arial" w:cs="Arial"/>
          <w:sz w:val="24"/>
          <w:szCs w:val="24"/>
        </w:rPr>
      </w:pPr>
      <w:r>
        <w:rPr>
          <w:rFonts w:ascii="Arial" w:hAnsi="Arial" w:cs="Arial"/>
          <w:sz w:val="24"/>
          <w:szCs w:val="24"/>
        </w:rPr>
        <w:t>having treatment for mental health issues</w:t>
      </w:r>
    </w:p>
    <w:p w14:paraId="2FC5A3DF" w14:textId="26AE353E" w:rsidR="005D59CC" w:rsidRDefault="005D59CC" w:rsidP="005D59CC">
      <w:pPr>
        <w:pStyle w:val="ListParagraph"/>
        <w:numPr>
          <w:ilvl w:val="0"/>
          <w:numId w:val="84"/>
        </w:numPr>
        <w:spacing w:before="120" w:after="120" w:line="240" w:lineRule="atLeast"/>
        <w:contextualSpacing w:val="0"/>
        <w:rPr>
          <w:rFonts w:ascii="Arial" w:hAnsi="Arial" w:cs="Arial"/>
          <w:sz w:val="24"/>
          <w:szCs w:val="24"/>
        </w:rPr>
      </w:pPr>
      <w:r>
        <w:rPr>
          <w:rFonts w:ascii="Arial" w:hAnsi="Arial" w:cs="Arial"/>
          <w:sz w:val="24"/>
          <w:szCs w:val="24"/>
        </w:rPr>
        <w:t>not having a driver licence.</w:t>
      </w:r>
    </w:p>
    <w:p w14:paraId="4C2C7BA0" w14:textId="3D41EDB0" w:rsidR="005D59CC" w:rsidRDefault="005D59CC" w:rsidP="005D59CC">
      <w:pPr>
        <w:pStyle w:val="ListParagraph"/>
        <w:spacing w:before="120" w:after="120" w:line="240" w:lineRule="atLeast"/>
        <w:ind w:left="0"/>
        <w:contextualSpacing w:val="0"/>
        <w:rPr>
          <w:rFonts w:ascii="Arial" w:hAnsi="Arial" w:cs="Arial"/>
          <w:sz w:val="24"/>
          <w:szCs w:val="24"/>
        </w:rPr>
      </w:pPr>
      <w:r>
        <w:rPr>
          <w:rFonts w:ascii="Arial" w:hAnsi="Arial" w:cs="Arial"/>
          <w:sz w:val="24"/>
          <w:szCs w:val="24"/>
        </w:rPr>
        <w:lastRenderedPageBreak/>
        <w:t>Wider trends relating to these risk factors include:</w:t>
      </w:r>
    </w:p>
    <w:p w14:paraId="618F8C41" w14:textId="6E5E1EB0" w:rsidR="005D59CC" w:rsidRDefault="005D59CC" w:rsidP="005D59CC">
      <w:pPr>
        <w:pStyle w:val="ListParagraph"/>
        <w:numPr>
          <w:ilvl w:val="0"/>
          <w:numId w:val="85"/>
        </w:numPr>
        <w:spacing w:before="120" w:after="120" w:line="240" w:lineRule="atLeast"/>
        <w:contextualSpacing w:val="0"/>
        <w:rPr>
          <w:rFonts w:ascii="Arial" w:hAnsi="Arial" w:cs="Arial"/>
          <w:sz w:val="24"/>
          <w:szCs w:val="24"/>
        </w:rPr>
      </w:pPr>
      <w:r>
        <w:rPr>
          <w:rFonts w:ascii="Arial" w:hAnsi="Arial" w:cs="Arial"/>
          <w:sz w:val="24"/>
          <w:szCs w:val="24"/>
        </w:rPr>
        <w:t xml:space="preserve">falling NCEA results and PISA results (the OECD’s Programme for International Student Assessment measures students’ reading, maths, and science ability) </w:t>
      </w:r>
    </w:p>
    <w:p w14:paraId="5B047F5D" w14:textId="63AC7CD0" w:rsidR="005D59CC" w:rsidRDefault="005D59CC" w:rsidP="005D59CC">
      <w:pPr>
        <w:pStyle w:val="ListParagraph"/>
        <w:numPr>
          <w:ilvl w:val="0"/>
          <w:numId w:val="85"/>
        </w:numPr>
        <w:spacing w:before="120" w:after="120" w:line="240" w:lineRule="atLeast"/>
        <w:contextualSpacing w:val="0"/>
        <w:rPr>
          <w:rFonts w:ascii="Arial" w:hAnsi="Arial" w:cs="Arial"/>
          <w:sz w:val="24"/>
          <w:szCs w:val="24"/>
        </w:rPr>
      </w:pPr>
      <w:r>
        <w:rPr>
          <w:rFonts w:ascii="Arial" w:hAnsi="Arial" w:cs="Arial"/>
          <w:sz w:val="24"/>
          <w:szCs w:val="24"/>
        </w:rPr>
        <w:t xml:space="preserve">school attendance rates, which reflect wellbeing and engagement, have been falling since 2015 </w:t>
      </w:r>
    </w:p>
    <w:p w14:paraId="56970640" w14:textId="77777777" w:rsidR="005D59CC" w:rsidRDefault="005D59CC" w:rsidP="005D59CC">
      <w:pPr>
        <w:pStyle w:val="ListParagraph"/>
        <w:numPr>
          <w:ilvl w:val="0"/>
          <w:numId w:val="85"/>
        </w:numPr>
        <w:spacing w:before="120" w:after="120" w:line="240" w:lineRule="atLeast"/>
        <w:ind w:left="1071" w:hanging="357"/>
        <w:contextualSpacing w:val="0"/>
        <w:rPr>
          <w:rFonts w:ascii="Arial" w:hAnsi="Arial" w:cs="Arial"/>
          <w:sz w:val="24"/>
          <w:szCs w:val="24"/>
        </w:rPr>
      </w:pPr>
      <w:r>
        <w:rPr>
          <w:rFonts w:ascii="Arial" w:hAnsi="Arial" w:cs="Arial"/>
          <w:sz w:val="24"/>
          <w:szCs w:val="24"/>
        </w:rPr>
        <w:t xml:space="preserve">more stand downs from school since 2015 </w:t>
      </w:r>
    </w:p>
    <w:p w14:paraId="7AD79B90" w14:textId="6B3D1778" w:rsidR="005D59CC" w:rsidRDefault="005D59CC" w:rsidP="005D59CC">
      <w:pPr>
        <w:pStyle w:val="ListParagraph"/>
        <w:numPr>
          <w:ilvl w:val="0"/>
          <w:numId w:val="85"/>
        </w:numPr>
        <w:spacing w:before="120" w:after="120" w:line="240" w:lineRule="atLeast"/>
        <w:contextualSpacing w:val="0"/>
        <w:rPr>
          <w:rFonts w:ascii="Arial" w:hAnsi="Arial" w:cs="Arial"/>
          <w:sz w:val="24"/>
          <w:szCs w:val="24"/>
          <w:lang w:eastAsia="en-NZ"/>
        </w:rPr>
      </w:pPr>
      <w:r>
        <w:rPr>
          <w:rFonts w:ascii="Arial" w:hAnsi="Arial" w:cs="Arial"/>
          <w:sz w:val="24"/>
          <w:szCs w:val="24"/>
        </w:rPr>
        <w:t xml:space="preserve">relatively youthful Māori and Pacific populations compared to an ageing overall New Zealand population. Population projections indicate that the number of Māori and Pacific </w:t>
      </w:r>
      <w:proofErr w:type="gramStart"/>
      <w:r>
        <w:rPr>
          <w:rFonts w:ascii="Arial" w:hAnsi="Arial" w:cs="Arial"/>
          <w:sz w:val="24"/>
          <w:szCs w:val="24"/>
        </w:rPr>
        <w:t>15-24</w:t>
      </w:r>
      <w:r w:rsidR="00525D9D">
        <w:rPr>
          <w:rFonts w:ascii="Arial" w:hAnsi="Arial" w:cs="Arial"/>
          <w:sz w:val="24"/>
          <w:szCs w:val="24"/>
        </w:rPr>
        <w:t xml:space="preserve"> </w:t>
      </w:r>
      <w:r>
        <w:rPr>
          <w:rFonts w:ascii="Arial" w:hAnsi="Arial" w:cs="Arial"/>
          <w:sz w:val="24"/>
          <w:szCs w:val="24"/>
        </w:rPr>
        <w:t>year</w:t>
      </w:r>
      <w:r w:rsidR="00525D9D">
        <w:rPr>
          <w:rFonts w:ascii="Arial" w:hAnsi="Arial" w:cs="Arial"/>
          <w:sz w:val="24"/>
          <w:szCs w:val="24"/>
        </w:rPr>
        <w:t>-</w:t>
      </w:r>
      <w:r>
        <w:rPr>
          <w:rFonts w:ascii="Arial" w:hAnsi="Arial" w:cs="Arial"/>
          <w:sz w:val="24"/>
          <w:szCs w:val="24"/>
        </w:rPr>
        <w:t>olds</w:t>
      </w:r>
      <w:proofErr w:type="gramEnd"/>
      <w:r>
        <w:rPr>
          <w:rFonts w:ascii="Arial" w:hAnsi="Arial" w:cs="Arial"/>
          <w:sz w:val="24"/>
          <w:szCs w:val="24"/>
        </w:rPr>
        <w:t xml:space="preserve"> could grow to 278,600 by 2028, making up 40</w:t>
      </w:r>
      <w:r w:rsidR="00FB0B1E">
        <w:rPr>
          <w:rFonts w:ascii="Arial" w:hAnsi="Arial" w:cs="Arial"/>
          <w:sz w:val="24"/>
          <w:szCs w:val="24"/>
        </w:rPr>
        <w:t xml:space="preserve">% </w:t>
      </w:r>
      <w:r>
        <w:rPr>
          <w:rFonts w:ascii="Arial" w:hAnsi="Arial" w:cs="Arial"/>
          <w:sz w:val="24"/>
          <w:szCs w:val="24"/>
        </w:rPr>
        <w:t>of the total number of 15-24 young people, up from 34</w:t>
      </w:r>
      <w:r w:rsidR="00FB0B1E">
        <w:rPr>
          <w:rFonts w:ascii="Arial" w:hAnsi="Arial" w:cs="Arial"/>
          <w:sz w:val="24"/>
          <w:szCs w:val="24"/>
        </w:rPr>
        <w:t xml:space="preserve">% </w:t>
      </w:r>
      <w:r>
        <w:rPr>
          <w:rFonts w:ascii="Arial" w:hAnsi="Arial" w:cs="Arial"/>
          <w:sz w:val="24"/>
          <w:szCs w:val="24"/>
        </w:rPr>
        <w:t>in 2018</w:t>
      </w:r>
      <w:r>
        <w:rPr>
          <w:rFonts w:ascii="Arial" w:hAnsi="Arial" w:cs="Arial"/>
          <w:sz w:val="24"/>
          <w:szCs w:val="24"/>
          <w:lang w:eastAsia="en-NZ"/>
        </w:rPr>
        <w:t xml:space="preserve"> </w:t>
      </w:r>
    </w:p>
    <w:p w14:paraId="3C77ED1B" w14:textId="133FA228" w:rsidR="005D59CC" w:rsidRDefault="005D59CC" w:rsidP="005D59CC">
      <w:pPr>
        <w:pStyle w:val="ListParagraph"/>
        <w:numPr>
          <w:ilvl w:val="0"/>
          <w:numId w:val="85"/>
        </w:numPr>
        <w:spacing w:before="120" w:after="120" w:line="240" w:lineRule="atLeast"/>
        <w:contextualSpacing w:val="0"/>
        <w:rPr>
          <w:rFonts w:ascii="Arial" w:hAnsi="Arial" w:cs="Arial"/>
          <w:sz w:val="24"/>
          <w:szCs w:val="24"/>
        </w:rPr>
      </w:pPr>
      <w:r>
        <w:rPr>
          <w:rFonts w:ascii="Arial" w:hAnsi="Arial" w:cs="Arial"/>
          <w:sz w:val="24"/>
          <w:szCs w:val="24"/>
        </w:rPr>
        <w:t xml:space="preserve">relatively stable take up of benefits for 18 to </w:t>
      </w:r>
      <w:proofErr w:type="gramStart"/>
      <w:r>
        <w:rPr>
          <w:rFonts w:ascii="Arial" w:hAnsi="Arial" w:cs="Arial"/>
          <w:sz w:val="24"/>
          <w:szCs w:val="24"/>
        </w:rPr>
        <w:t>24</w:t>
      </w:r>
      <w:r w:rsidR="00525D9D">
        <w:rPr>
          <w:rFonts w:ascii="Arial" w:hAnsi="Arial" w:cs="Arial"/>
          <w:sz w:val="24"/>
          <w:szCs w:val="24"/>
        </w:rPr>
        <w:t xml:space="preserve"> </w:t>
      </w:r>
      <w:r>
        <w:rPr>
          <w:rFonts w:ascii="Arial" w:hAnsi="Arial" w:cs="Arial"/>
          <w:sz w:val="24"/>
          <w:szCs w:val="24"/>
        </w:rPr>
        <w:t>year</w:t>
      </w:r>
      <w:r w:rsidR="00525D9D">
        <w:rPr>
          <w:rFonts w:ascii="Arial" w:hAnsi="Arial" w:cs="Arial"/>
          <w:sz w:val="24"/>
          <w:szCs w:val="24"/>
        </w:rPr>
        <w:t>-</w:t>
      </w:r>
      <w:r>
        <w:rPr>
          <w:rFonts w:ascii="Arial" w:hAnsi="Arial" w:cs="Arial"/>
          <w:sz w:val="24"/>
          <w:szCs w:val="24"/>
        </w:rPr>
        <w:t>olds</w:t>
      </w:r>
      <w:proofErr w:type="gramEnd"/>
      <w:r>
        <w:rPr>
          <w:rFonts w:ascii="Arial" w:hAnsi="Arial" w:cs="Arial"/>
          <w:sz w:val="24"/>
          <w:szCs w:val="24"/>
        </w:rPr>
        <w:t xml:space="preserve"> over the last five years, with an increase in early 2020, driven by the economic disruption caused by COVID-19</w:t>
      </w:r>
    </w:p>
    <w:p w14:paraId="5FD00025" w14:textId="77777777" w:rsidR="005D59CC" w:rsidRDefault="005D59CC" w:rsidP="005D59CC">
      <w:pPr>
        <w:pStyle w:val="ListParagraph"/>
        <w:numPr>
          <w:ilvl w:val="0"/>
          <w:numId w:val="85"/>
        </w:numPr>
        <w:spacing w:before="120" w:after="120" w:line="240" w:lineRule="atLeast"/>
        <w:contextualSpacing w:val="0"/>
        <w:rPr>
          <w:rFonts w:ascii="Arial" w:hAnsi="Arial" w:cs="Arial"/>
          <w:sz w:val="24"/>
          <w:szCs w:val="24"/>
        </w:rPr>
      </w:pPr>
      <w:r>
        <w:rPr>
          <w:rFonts w:ascii="Arial" w:hAnsi="Arial" w:cs="Arial"/>
          <w:sz w:val="24"/>
          <w:szCs w:val="24"/>
        </w:rPr>
        <w:t xml:space="preserve">over-representation of Māori and Pacific young people among school leavers with low or no qualifications </w:t>
      </w:r>
    </w:p>
    <w:p w14:paraId="49A27564" w14:textId="77777777" w:rsidR="005D59CC" w:rsidRDefault="005D59CC" w:rsidP="005D59CC">
      <w:pPr>
        <w:pStyle w:val="ListParagraph"/>
        <w:numPr>
          <w:ilvl w:val="0"/>
          <w:numId w:val="85"/>
        </w:numPr>
        <w:spacing w:before="120" w:after="120" w:line="240" w:lineRule="atLeast"/>
        <w:contextualSpacing w:val="0"/>
        <w:rPr>
          <w:rFonts w:ascii="Arial" w:hAnsi="Arial" w:cs="Arial"/>
          <w:sz w:val="24"/>
          <w:szCs w:val="24"/>
        </w:rPr>
      </w:pPr>
      <w:r>
        <w:rPr>
          <w:rFonts w:ascii="Arial" w:hAnsi="Arial" w:cs="Arial"/>
          <w:sz w:val="24"/>
          <w:szCs w:val="24"/>
        </w:rPr>
        <w:t>over-representation of Māori and Pacific young people as sole parents</w:t>
      </w:r>
    </w:p>
    <w:p w14:paraId="787E5105" w14:textId="77777777" w:rsidR="005D59CC" w:rsidRDefault="005D59CC" w:rsidP="005D59CC">
      <w:pPr>
        <w:pStyle w:val="ListParagraph"/>
        <w:numPr>
          <w:ilvl w:val="0"/>
          <w:numId w:val="85"/>
        </w:numPr>
        <w:spacing w:before="120" w:after="120" w:line="240" w:lineRule="atLeast"/>
        <w:contextualSpacing w:val="0"/>
        <w:rPr>
          <w:rFonts w:ascii="Arial" w:hAnsi="Arial" w:cs="Arial"/>
          <w:sz w:val="24"/>
          <w:szCs w:val="24"/>
        </w:rPr>
      </w:pPr>
      <w:r>
        <w:rPr>
          <w:rFonts w:ascii="Arial" w:hAnsi="Arial" w:cs="Arial"/>
          <w:sz w:val="24"/>
          <w:szCs w:val="24"/>
        </w:rPr>
        <w:t>a higher rate of exit from benefits for young people aged 16 to 24, along with a lower likelihood of staying off benefit.</w:t>
      </w:r>
    </w:p>
    <w:p w14:paraId="4096B5E0" w14:textId="77777777" w:rsidR="00EB3E56" w:rsidRPr="00963997" w:rsidRDefault="00EB3E56" w:rsidP="005D59CC">
      <w:pPr>
        <w:pStyle w:val="Heading1"/>
        <w:spacing w:before="120" w:after="120" w:line="240" w:lineRule="atLeast"/>
        <w:rPr>
          <w:b/>
          <w:bCs/>
        </w:rPr>
      </w:pPr>
      <w:r w:rsidRPr="00963997">
        <w:rPr>
          <w:b/>
          <w:bCs/>
        </w:rPr>
        <w:t>Community voices have highlighted the needs of youth at risk of limited employment</w:t>
      </w:r>
    </w:p>
    <w:p w14:paraId="18B1FA0B" w14:textId="6B774493" w:rsidR="000825FB" w:rsidRPr="00963997" w:rsidRDefault="000825FB" w:rsidP="005D59CC">
      <w:pPr>
        <w:pStyle w:val="Heading2"/>
        <w:spacing w:before="120" w:after="120" w:line="240" w:lineRule="atLeast"/>
        <w:rPr>
          <w:rFonts w:ascii="Arial" w:hAnsi="Arial" w:cs="Arial"/>
        </w:rPr>
      </w:pPr>
      <w:r w:rsidRPr="00963997">
        <w:rPr>
          <w:rFonts w:ascii="Arial" w:hAnsi="Arial" w:cs="Arial"/>
        </w:rPr>
        <w:t xml:space="preserve">School and tertiary study </w:t>
      </w:r>
      <w:r w:rsidR="008D0FB5">
        <w:rPr>
          <w:rFonts w:ascii="Arial" w:hAnsi="Arial" w:cs="Arial"/>
        </w:rPr>
        <w:t>do not</w:t>
      </w:r>
      <w:r w:rsidRPr="00963997">
        <w:rPr>
          <w:rFonts w:ascii="Arial" w:hAnsi="Arial" w:cs="Arial"/>
        </w:rPr>
        <w:t xml:space="preserve"> work for everyone</w:t>
      </w:r>
    </w:p>
    <w:p w14:paraId="7ED227A6" w14:textId="0E55BCD5" w:rsidR="000825FB" w:rsidRPr="00963997" w:rsidRDefault="000825FB" w:rsidP="005D59CC">
      <w:pPr>
        <w:pStyle w:val="ListParagraph"/>
        <w:spacing w:before="120" w:after="120" w:line="240" w:lineRule="atLeast"/>
        <w:ind w:left="0"/>
        <w:contextualSpacing w:val="0"/>
        <w:rPr>
          <w:rFonts w:ascii="Arial" w:hAnsi="Arial" w:cs="Arial"/>
          <w:sz w:val="24"/>
          <w:szCs w:val="24"/>
        </w:rPr>
      </w:pPr>
      <w:r w:rsidRPr="00963997">
        <w:rPr>
          <w:rFonts w:ascii="Arial" w:hAnsi="Arial" w:cs="Arial"/>
          <w:sz w:val="24"/>
          <w:szCs w:val="24"/>
        </w:rPr>
        <w:t xml:space="preserve">Attending and being engaged at school is important, but through the National Education Conversation the Ministry of Education heard from 2,000 </w:t>
      </w:r>
      <w:proofErr w:type="gramStart"/>
      <w:r w:rsidRPr="00963997">
        <w:rPr>
          <w:rFonts w:ascii="Arial" w:hAnsi="Arial" w:cs="Arial"/>
          <w:sz w:val="24"/>
          <w:szCs w:val="24"/>
        </w:rPr>
        <w:t>8-15</w:t>
      </w:r>
      <w:r w:rsidR="00525D9D">
        <w:rPr>
          <w:rFonts w:ascii="Arial" w:hAnsi="Arial" w:cs="Arial"/>
          <w:sz w:val="24"/>
          <w:szCs w:val="24"/>
        </w:rPr>
        <w:t xml:space="preserve"> </w:t>
      </w:r>
      <w:r w:rsidRPr="00963997">
        <w:rPr>
          <w:rFonts w:ascii="Arial" w:hAnsi="Arial" w:cs="Arial"/>
          <w:sz w:val="24"/>
          <w:szCs w:val="24"/>
        </w:rPr>
        <w:t>year</w:t>
      </w:r>
      <w:r w:rsidR="00525D9D">
        <w:rPr>
          <w:rFonts w:ascii="Arial" w:hAnsi="Arial" w:cs="Arial"/>
          <w:sz w:val="24"/>
          <w:szCs w:val="24"/>
        </w:rPr>
        <w:t>-</w:t>
      </w:r>
      <w:r w:rsidRPr="00963997">
        <w:rPr>
          <w:rFonts w:ascii="Arial" w:hAnsi="Arial" w:cs="Arial"/>
          <w:sz w:val="24"/>
          <w:szCs w:val="24"/>
        </w:rPr>
        <w:t>olds</w:t>
      </w:r>
      <w:proofErr w:type="gramEnd"/>
      <w:r w:rsidRPr="00963997">
        <w:rPr>
          <w:rFonts w:ascii="Arial" w:hAnsi="Arial" w:cs="Arial"/>
          <w:sz w:val="24"/>
          <w:szCs w:val="24"/>
        </w:rPr>
        <w:t xml:space="preserve"> that:</w:t>
      </w:r>
    </w:p>
    <w:p w14:paraId="5F47F939" w14:textId="68FCDB82" w:rsidR="000825FB" w:rsidRPr="00963997" w:rsidRDefault="000825FB" w:rsidP="005D59CC">
      <w:pPr>
        <w:pStyle w:val="ListParagraph"/>
        <w:numPr>
          <w:ilvl w:val="0"/>
          <w:numId w:val="76"/>
        </w:numPr>
        <w:spacing w:before="120" w:after="120" w:line="240" w:lineRule="atLeast"/>
        <w:contextualSpacing w:val="0"/>
        <w:rPr>
          <w:rFonts w:ascii="Arial" w:hAnsi="Arial" w:cs="Arial"/>
          <w:sz w:val="24"/>
          <w:szCs w:val="24"/>
        </w:rPr>
      </w:pPr>
      <w:r w:rsidRPr="00963997">
        <w:rPr>
          <w:rFonts w:ascii="Arial" w:hAnsi="Arial" w:cs="Arial"/>
          <w:sz w:val="24"/>
          <w:szCs w:val="24"/>
        </w:rPr>
        <w:t>school does not work for all students</w:t>
      </w:r>
    </w:p>
    <w:p w14:paraId="315C5E53" w14:textId="77777777" w:rsidR="0007239C" w:rsidRPr="00963997" w:rsidRDefault="0007239C" w:rsidP="005D59CC">
      <w:pPr>
        <w:pStyle w:val="ListParagraph"/>
        <w:numPr>
          <w:ilvl w:val="0"/>
          <w:numId w:val="76"/>
        </w:numPr>
        <w:spacing w:before="120" w:after="120" w:line="240" w:lineRule="atLeast"/>
        <w:contextualSpacing w:val="0"/>
        <w:rPr>
          <w:rFonts w:ascii="Arial" w:hAnsi="Arial" w:cs="Arial"/>
          <w:sz w:val="24"/>
          <w:szCs w:val="24"/>
        </w:rPr>
      </w:pPr>
      <w:r w:rsidRPr="00963997">
        <w:rPr>
          <w:rFonts w:ascii="Arial" w:hAnsi="Arial" w:cs="Arial"/>
          <w:sz w:val="24"/>
          <w:szCs w:val="24"/>
        </w:rPr>
        <w:t>a strong incentive to attending school is feeling welcome, but not all students feel welcome at school</w:t>
      </w:r>
    </w:p>
    <w:p w14:paraId="3F9B6234" w14:textId="17F9D7E5" w:rsidR="0007239C" w:rsidRPr="00963997" w:rsidRDefault="0007239C" w:rsidP="005D59CC">
      <w:pPr>
        <w:pStyle w:val="ListParagraph"/>
        <w:numPr>
          <w:ilvl w:val="0"/>
          <w:numId w:val="76"/>
        </w:numPr>
        <w:spacing w:before="120" w:after="120" w:line="240" w:lineRule="atLeast"/>
        <w:contextualSpacing w:val="0"/>
        <w:rPr>
          <w:rFonts w:ascii="Arial" w:hAnsi="Arial" w:cs="Arial"/>
          <w:sz w:val="24"/>
          <w:szCs w:val="24"/>
        </w:rPr>
      </w:pPr>
      <w:r w:rsidRPr="00963997">
        <w:rPr>
          <w:rFonts w:ascii="Arial" w:hAnsi="Arial" w:cs="Arial"/>
          <w:sz w:val="24"/>
          <w:szCs w:val="24"/>
        </w:rPr>
        <w:t xml:space="preserve">some students do not feel included or </w:t>
      </w:r>
      <w:r w:rsidR="008D0FB5">
        <w:rPr>
          <w:rFonts w:ascii="Arial" w:hAnsi="Arial" w:cs="Arial"/>
          <w:sz w:val="24"/>
          <w:szCs w:val="24"/>
        </w:rPr>
        <w:t xml:space="preserve">have </w:t>
      </w:r>
      <w:r w:rsidRPr="00963997">
        <w:rPr>
          <w:rFonts w:ascii="Arial" w:hAnsi="Arial" w:cs="Arial"/>
          <w:sz w:val="24"/>
          <w:szCs w:val="24"/>
        </w:rPr>
        <w:t xml:space="preserve">a sense of belonging because they experience bullying, </w:t>
      </w:r>
      <w:proofErr w:type="gramStart"/>
      <w:r w:rsidRPr="00963997">
        <w:rPr>
          <w:rFonts w:ascii="Arial" w:hAnsi="Arial" w:cs="Arial"/>
          <w:sz w:val="24"/>
          <w:szCs w:val="24"/>
        </w:rPr>
        <w:t>discrimination</w:t>
      </w:r>
      <w:proofErr w:type="gramEnd"/>
      <w:r w:rsidRPr="00963997">
        <w:rPr>
          <w:rFonts w:ascii="Arial" w:hAnsi="Arial" w:cs="Arial"/>
          <w:sz w:val="24"/>
          <w:szCs w:val="24"/>
        </w:rPr>
        <w:t xml:space="preserve"> or a lack of recognition of identity, language and culture</w:t>
      </w:r>
    </w:p>
    <w:p w14:paraId="5AC8827E" w14:textId="79A5145D" w:rsidR="000825FB" w:rsidRPr="00963997" w:rsidRDefault="000825FB" w:rsidP="005D59CC">
      <w:pPr>
        <w:pStyle w:val="ListParagraph"/>
        <w:numPr>
          <w:ilvl w:val="0"/>
          <w:numId w:val="76"/>
        </w:numPr>
        <w:spacing w:before="120" w:after="120" w:line="240" w:lineRule="atLeast"/>
        <w:contextualSpacing w:val="0"/>
        <w:rPr>
          <w:rFonts w:ascii="Arial" w:hAnsi="Arial" w:cs="Arial"/>
          <w:sz w:val="24"/>
          <w:szCs w:val="24"/>
        </w:rPr>
      </w:pPr>
      <w:r w:rsidRPr="00963997">
        <w:rPr>
          <w:rFonts w:ascii="Arial" w:hAnsi="Arial" w:cs="Arial"/>
          <w:sz w:val="24"/>
          <w:szCs w:val="24"/>
        </w:rPr>
        <w:t xml:space="preserve">some feel the learning isn’t relevant to them. </w:t>
      </w:r>
    </w:p>
    <w:p w14:paraId="5942FD8E" w14:textId="532D4876" w:rsidR="000825FB" w:rsidRPr="00963997" w:rsidRDefault="000825FB" w:rsidP="005D59CC">
      <w:pPr>
        <w:pStyle w:val="ListParagraph"/>
        <w:spacing w:before="120" w:after="120" w:line="240" w:lineRule="atLeast"/>
        <w:ind w:left="0"/>
        <w:contextualSpacing w:val="0"/>
        <w:rPr>
          <w:rFonts w:ascii="Arial" w:hAnsi="Arial" w:cs="Arial"/>
          <w:sz w:val="24"/>
          <w:szCs w:val="24"/>
        </w:rPr>
      </w:pPr>
      <w:r w:rsidRPr="00963997">
        <w:rPr>
          <w:rFonts w:ascii="Arial" w:hAnsi="Arial" w:cs="Arial"/>
          <w:sz w:val="24"/>
          <w:szCs w:val="24"/>
        </w:rPr>
        <w:t>We also heard that parents and whānau face difficulties making connections with schools.</w:t>
      </w:r>
    </w:p>
    <w:p w14:paraId="7A060BFF" w14:textId="2CFD0FD0" w:rsidR="000825FB" w:rsidRPr="00963997" w:rsidRDefault="000825FB" w:rsidP="005D59CC">
      <w:pPr>
        <w:pStyle w:val="ListParagraph"/>
        <w:spacing w:before="120" w:after="120" w:line="240" w:lineRule="atLeast"/>
        <w:ind w:left="0"/>
        <w:contextualSpacing w:val="0"/>
        <w:rPr>
          <w:rFonts w:ascii="Arial" w:hAnsi="Arial" w:cs="Arial"/>
          <w:sz w:val="24"/>
          <w:szCs w:val="24"/>
        </w:rPr>
      </w:pPr>
      <w:r w:rsidRPr="00963997">
        <w:rPr>
          <w:rFonts w:ascii="Arial" w:hAnsi="Arial" w:cs="Arial"/>
          <w:sz w:val="24"/>
          <w:szCs w:val="24"/>
        </w:rPr>
        <w:t xml:space="preserve">Tertiary education helps many young people find a successful career path, but some </w:t>
      </w:r>
      <w:r w:rsidR="00FD69B2">
        <w:rPr>
          <w:rFonts w:ascii="Arial" w:hAnsi="Arial" w:cs="Arial"/>
          <w:sz w:val="24"/>
          <w:szCs w:val="24"/>
        </w:rPr>
        <w:t xml:space="preserve">young people </w:t>
      </w:r>
      <w:r w:rsidRPr="00963997">
        <w:rPr>
          <w:rFonts w:ascii="Arial" w:hAnsi="Arial" w:cs="Arial"/>
          <w:sz w:val="24"/>
          <w:szCs w:val="24"/>
        </w:rPr>
        <w:t xml:space="preserve">get little benefit from repeated attempts at low-level tertiary study. </w:t>
      </w:r>
    </w:p>
    <w:p w14:paraId="5507268D" w14:textId="77777777" w:rsidR="000825FB" w:rsidRPr="00963997" w:rsidRDefault="000825FB" w:rsidP="005D59CC">
      <w:pPr>
        <w:pStyle w:val="Heading2"/>
        <w:spacing w:before="120" w:after="120" w:line="240" w:lineRule="atLeast"/>
        <w:rPr>
          <w:rFonts w:ascii="Arial" w:hAnsi="Arial" w:cs="Arial"/>
        </w:rPr>
      </w:pPr>
      <w:r w:rsidRPr="00963997">
        <w:rPr>
          <w:rFonts w:ascii="Arial" w:hAnsi="Arial" w:cs="Arial"/>
        </w:rPr>
        <w:lastRenderedPageBreak/>
        <w:t>Not all young people get the support they need to be ready for work or training</w:t>
      </w:r>
    </w:p>
    <w:p w14:paraId="0E5EE53D" w14:textId="5D74CBF1" w:rsidR="000825FB" w:rsidRPr="00963997" w:rsidRDefault="000825FB" w:rsidP="005D59CC">
      <w:pPr>
        <w:pStyle w:val="ListParagraph"/>
        <w:spacing w:before="120" w:after="120" w:line="240" w:lineRule="atLeast"/>
        <w:ind w:left="0"/>
        <w:contextualSpacing w:val="0"/>
        <w:rPr>
          <w:rFonts w:ascii="Arial" w:hAnsi="Arial" w:cs="Arial"/>
          <w:sz w:val="24"/>
          <w:szCs w:val="24"/>
        </w:rPr>
      </w:pPr>
      <w:r w:rsidRPr="00963997">
        <w:rPr>
          <w:rFonts w:ascii="Arial" w:hAnsi="Arial" w:cs="Arial"/>
          <w:sz w:val="24"/>
          <w:szCs w:val="24"/>
        </w:rPr>
        <w:t xml:space="preserve">A stable job with training opportunities and other support can offer many young people opportunities to gain the skills, </w:t>
      </w:r>
      <w:proofErr w:type="gramStart"/>
      <w:r w:rsidRPr="00963997">
        <w:rPr>
          <w:rFonts w:ascii="Arial" w:hAnsi="Arial" w:cs="Arial"/>
          <w:sz w:val="24"/>
          <w:szCs w:val="24"/>
        </w:rPr>
        <w:t>confidence</w:t>
      </w:r>
      <w:proofErr w:type="gramEnd"/>
      <w:r w:rsidRPr="00963997">
        <w:rPr>
          <w:rFonts w:ascii="Arial" w:hAnsi="Arial" w:cs="Arial"/>
          <w:sz w:val="24"/>
          <w:szCs w:val="24"/>
        </w:rPr>
        <w:t xml:space="preserve"> and experience to find and hold onto sustainable jobs</w:t>
      </w:r>
      <w:r w:rsidR="00FB0B1E">
        <w:rPr>
          <w:rFonts w:ascii="Arial" w:hAnsi="Arial" w:cs="Arial"/>
          <w:sz w:val="24"/>
          <w:szCs w:val="24"/>
        </w:rPr>
        <w:t xml:space="preserve"> that could lead to further career development</w:t>
      </w:r>
      <w:r w:rsidRPr="00963997">
        <w:rPr>
          <w:rFonts w:ascii="Arial" w:hAnsi="Arial" w:cs="Arial"/>
          <w:sz w:val="24"/>
          <w:szCs w:val="24"/>
        </w:rPr>
        <w:t xml:space="preserve">. </w:t>
      </w:r>
    </w:p>
    <w:p w14:paraId="698D0BDB" w14:textId="426B4CFC" w:rsidR="000825FB" w:rsidRPr="00963997" w:rsidRDefault="000825FB" w:rsidP="005D59CC">
      <w:pPr>
        <w:pStyle w:val="ListParagraph"/>
        <w:spacing w:before="120" w:after="120" w:line="240" w:lineRule="atLeast"/>
        <w:ind w:left="0"/>
        <w:contextualSpacing w:val="0"/>
        <w:rPr>
          <w:rFonts w:ascii="Arial" w:hAnsi="Arial" w:cs="Arial"/>
          <w:sz w:val="24"/>
          <w:szCs w:val="24"/>
        </w:rPr>
      </w:pPr>
      <w:r w:rsidRPr="00963997">
        <w:rPr>
          <w:rFonts w:ascii="Arial" w:hAnsi="Arial" w:cs="Arial"/>
          <w:sz w:val="24"/>
          <w:szCs w:val="24"/>
        </w:rPr>
        <w:t xml:space="preserve">However, finding and holding onto a job can be difficult for some, especially young people from disadvantaged backgrounds with limited educational achievement. It’s especially difficult if they have high and complex support needs, disabilities, caring responsibilities, </w:t>
      </w:r>
      <w:r w:rsidR="00FB0B1E">
        <w:rPr>
          <w:rFonts w:ascii="Arial" w:hAnsi="Arial" w:cs="Arial"/>
          <w:sz w:val="24"/>
          <w:szCs w:val="24"/>
        </w:rPr>
        <w:t xml:space="preserve">or </w:t>
      </w:r>
      <w:r w:rsidRPr="00963997">
        <w:rPr>
          <w:rFonts w:ascii="Arial" w:hAnsi="Arial" w:cs="Arial"/>
          <w:sz w:val="24"/>
          <w:szCs w:val="24"/>
        </w:rPr>
        <w:t>health issues (including addiction</w:t>
      </w:r>
      <w:r w:rsidR="00FB0B1E">
        <w:rPr>
          <w:rFonts w:ascii="Arial" w:hAnsi="Arial" w:cs="Arial"/>
          <w:sz w:val="24"/>
          <w:szCs w:val="24"/>
        </w:rPr>
        <w:t xml:space="preserve"> and mental health</w:t>
      </w:r>
      <w:r w:rsidRPr="00963997">
        <w:rPr>
          <w:rFonts w:ascii="Arial" w:hAnsi="Arial" w:cs="Arial"/>
          <w:sz w:val="24"/>
          <w:szCs w:val="24"/>
        </w:rPr>
        <w:t>), particularly if they have not received sufficient or effective support.</w:t>
      </w:r>
    </w:p>
    <w:p w14:paraId="630CC153" w14:textId="7462A8C1" w:rsidR="000825FB" w:rsidRPr="00963997" w:rsidRDefault="000825FB" w:rsidP="005D59CC">
      <w:pPr>
        <w:pStyle w:val="ListParagraph"/>
        <w:spacing w:before="120" w:after="120" w:line="240" w:lineRule="atLeast"/>
        <w:ind w:left="0"/>
        <w:contextualSpacing w:val="0"/>
        <w:rPr>
          <w:rFonts w:ascii="Arial" w:hAnsi="Arial" w:cs="Arial"/>
          <w:sz w:val="24"/>
          <w:szCs w:val="24"/>
        </w:rPr>
      </w:pPr>
      <w:r w:rsidRPr="00963997">
        <w:rPr>
          <w:rFonts w:ascii="Arial" w:hAnsi="Arial" w:cs="Arial"/>
          <w:sz w:val="24"/>
          <w:szCs w:val="24"/>
        </w:rPr>
        <w:t xml:space="preserve">The Welfare Expert Advisory Group </w:t>
      </w:r>
      <w:r w:rsidR="003B0F36">
        <w:rPr>
          <w:rFonts w:ascii="Arial" w:hAnsi="Arial" w:cs="Arial"/>
          <w:sz w:val="24"/>
          <w:szCs w:val="24"/>
        </w:rPr>
        <w:t xml:space="preserve">(WEAG) </w:t>
      </w:r>
      <w:r w:rsidRPr="00963997">
        <w:rPr>
          <w:rFonts w:ascii="Arial" w:hAnsi="Arial" w:cs="Arial"/>
          <w:sz w:val="24"/>
          <w:szCs w:val="24"/>
        </w:rPr>
        <w:t xml:space="preserve">received feedback that young people entering the workforce were not getting sufficient support to ready them for training and employment. Suggestions </w:t>
      </w:r>
      <w:r w:rsidR="003B0F36">
        <w:rPr>
          <w:rFonts w:ascii="Arial" w:hAnsi="Arial" w:cs="Arial"/>
          <w:sz w:val="24"/>
          <w:szCs w:val="24"/>
        </w:rPr>
        <w:t xml:space="preserve">from the WEAG </w:t>
      </w:r>
      <w:r w:rsidRPr="00963997">
        <w:rPr>
          <w:rFonts w:ascii="Arial" w:hAnsi="Arial" w:cs="Arial"/>
          <w:sz w:val="24"/>
          <w:szCs w:val="24"/>
        </w:rPr>
        <w:t>included:</w:t>
      </w:r>
    </w:p>
    <w:p w14:paraId="7B617526" w14:textId="77777777" w:rsidR="000825FB" w:rsidRPr="00963997" w:rsidRDefault="000825FB" w:rsidP="005D59CC">
      <w:pPr>
        <w:pStyle w:val="ListParagraph"/>
        <w:numPr>
          <w:ilvl w:val="0"/>
          <w:numId w:val="75"/>
        </w:numPr>
        <w:spacing w:before="120" w:after="120" w:line="240" w:lineRule="atLeast"/>
        <w:contextualSpacing w:val="0"/>
        <w:rPr>
          <w:rFonts w:ascii="Arial" w:hAnsi="Arial" w:cs="Arial"/>
          <w:sz w:val="24"/>
          <w:szCs w:val="24"/>
        </w:rPr>
      </w:pPr>
      <w:r w:rsidRPr="00963997">
        <w:rPr>
          <w:rFonts w:ascii="Arial" w:hAnsi="Arial" w:cs="Arial"/>
          <w:sz w:val="24"/>
          <w:szCs w:val="24"/>
        </w:rPr>
        <w:t xml:space="preserve">more focused effort to intervene early before young people entered the welfare system </w:t>
      </w:r>
    </w:p>
    <w:p w14:paraId="64D83780" w14:textId="77777777" w:rsidR="000825FB" w:rsidRPr="00963997" w:rsidRDefault="000825FB" w:rsidP="005D59CC">
      <w:pPr>
        <w:pStyle w:val="ListParagraph"/>
        <w:numPr>
          <w:ilvl w:val="0"/>
          <w:numId w:val="75"/>
        </w:numPr>
        <w:spacing w:before="120" w:after="120" w:line="240" w:lineRule="atLeast"/>
        <w:contextualSpacing w:val="0"/>
        <w:rPr>
          <w:rFonts w:ascii="Arial" w:hAnsi="Arial" w:cs="Arial"/>
          <w:sz w:val="24"/>
          <w:szCs w:val="24"/>
        </w:rPr>
      </w:pPr>
      <w:r w:rsidRPr="00963997">
        <w:rPr>
          <w:rFonts w:ascii="Arial" w:hAnsi="Arial" w:cs="Arial"/>
          <w:sz w:val="24"/>
          <w:szCs w:val="24"/>
        </w:rPr>
        <w:t>more courses or training programmes with a focus on careers and jobs of interest to youth</w:t>
      </w:r>
    </w:p>
    <w:p w14:paraId="55D61DB6" w14:textId="1516F69A" w:rsidR="000825FB" w:rsidRPr="00963997" w:rsidRDefault="000825FB" w:rsidP="005D59CC">
      <w:pPr>
        <w:pStyle w:val="ListParagraph"/>
        <w:numPr>
          <w:ilvl w:val="0"/>
          <w:numId w:val="75"/>
        </w:numPr>
        <w:spacing w:before="120" w:after="120" w:line="240" w:lineRule="atLeast"/>
        <w:contextualSpacing w:val="0"/>
        <w:rPr>
          <w:rFonts w:ascii="Arial" w:hAnsi="Arial" w:cs="Arial"/>
          <w:sz w:val="24"/>
          <w:szCs w:val="24"/>
        </w:rPr>
      </w:pPr>
      <w:r w:rsidRPr="00963997">
        <w:rPr>
          <w:rFonts w:ascii="Arial" w:hAnsi="Arial" w:cs="Arial"/>
          <w:sz w:val="24"/>
          <w:szCs w:val="24"/>
        </w:rPr>
        <w:t xml:space="preserve">more training opportunities that </w:t>
      </w:r>
      <w:proofErr w:type="gramStart"/>
      <w:r w:rsidRPr="00963997">
        <w:rPr>
          <w:rFonts w:ascii="Arial" w:hAnsi="Arial" w:cs="Arial"/>
          <w:sz w:val="24"/>
          <w:szCs w:val="24"/>
        </w:rPr>
        <w:t>take into account</w:t>
      </w:r>
      <w:proofErr w:type="gramEnd"/>
      <w:r w:rsidRPr="00963997">
        <w:rPr>
          <w:rFonts w:ascii="Arial" w:hAnsi="Arial" w:cs="Arial"/>
          <w:sz w:val="24"/>
          <w:szCs w:val="24"/>
        </w:rPr>
        <w:t xml:space="preserve"> the needs of sole parents. </w:t>
      </w:r>
    </w:p>
    <w:p w14:paraId="123EC4C2" w14:textId="304504BD" w:rsidR="000825FB" w:rsidRPr="00963997" w:rsidRDefault="000825FB" w:rsidP="005D59CC">
      <w:pPr>
        <w:pStyle w:val="Heading2"/>
        <w:spacing w:before="120" w:after="120" w:line="240" w:lineRule="atLeast"/>
        <w:rPr>
          <w:rFonts w:ascii="Arial" w:hAnsi="Arial" w:cs="Arial"/>
        </w:rPr>
      </w:pPr>
      <w:r w:rsidRPr="00963997">
        <w:rPr>
          <w:rFonts w:ascii="Arial" w:hAnsi="Arial" w:cs="Arial"/>
        </w:rPr>
        <w:t xml:space="preserve">Employment support for disabled </w:t>
      </w:r>
      <w:r w:rsidR="00FB0B1E">
        <w:rPr>
          <w:rFonts w:ascii="Arial" w:hAnsi="Arial" w:cs="Arial"/>
        </w:rPr>
        <w:t xml:space="preserve">young </w:t>
      </w:r>
      <w:r w:rsidRPr="00963997">
        <w:rPr>
          <w:rFonts w:ascii="Arial" w:hAnsi="Arial" w:cs="Arial"/>
        </w:rPr>
        <w:t>people needs to begin early</w:t>
      </w:r>
    </w:p>
    <w:p w14:paraId="0D0F00B3" w14:textId="77777777" w:rsidR="000825FB" w:rsidRPr="00963997" w:rsidRDefault="000825FB" w:rsidP="005D59CC">
      <w:pPr>
        <w:pStyle w:val="ListParagraph"/>
        <w:spacing w:before="120" w:after="120" w:line="240" w:lineRule="atLeast"/>
        <w:ind w:left="0"/>
        <w:contextualSpacing w:val="0"/>
        <w:rPr>
          <w:rFonts w:ascii="Arial" w:hAnsi="Arial" w:cs="Arial"/>
          <w:sz w:val="24"/>
          <w:szCs w:val="24"/>
        </w:rPr>
      </w:pPr>
      <w:r w:rsidRPr="00963997">
        <w:rPr>
          <w:rFonts w:ascii="Arial" w:hAnsi="Arial" w:cs="Arial"/>
          <w:sz w:val="24"/>
          <w:szCs w:val="24"/>
        </w:rPr>
        <w:t>Public consultation on the Disability Employment Action Plan (Working Matters), completed in early 2020, highlighted the importance of starting early with young disabled people and their whānau and building expectations and aspirations about employment. This includes improving pathways and transitions from school and education to work and ensuring disabled young people have access to early work experience opportunities.</w:t>
      </w:r>
    </w:p>
    <w:p w14:paraId="139A8BAD" w14:textId="20958084" w:rsidR="000825FB" w:rsidRPr="00963997" w:rsidRDefault="000825FB" w:rsidP="005D59CC">
      <w:pPr>
        <w:pStyle w:val="Heading2"/>
        <w:spacing w:before="120" w:after="120" w:line="240" w:lineRule="atLeast"/>
        <w:rPr>
          <w:rFonts w:ascii="Arial" w:hAnsi="Arial" w:cs="Arial"/>
        </w:rPr>
      </w:pPr>
      <w:r w:rsidRPr="00963997">
        <w:rPr>
          <w:rFonts w:ascii="Arial" w:hAnsi="Arial" w:cs="Arial"/>
        </w:rPr>
        <w:t xml:space="preserve">Limited employment is an issue </w:t>
      </w:r>
      <w:r w:rsidR="00F408CF" w:rsidRPr="00963997">
        <w:rPr>
          <w:rFonts w:ascii="Arial" w:hAnsi="Arial" w:cs="Arial"/>
        </w:rPr>
        <w:t>for young people</w:t>
      </w:r>
    </w:p>
    <w:p w14:paraId="66B6590B" w14:textId="628550A5" w:rsidR="00EF4317" w:rsidRPr="00963997" w:rsidRDefault="00A11FD1" w:rsidP="005D59CC">
      <w:pPr>
        <w:pStyle w:val="ListParagraph"/>
        <w:spacing w:before="120" w:after="120" w:line="240" w:lineRule="atLeast"/>
        <w:ind w:left="0"/>
        <w:contextualSpacing w:val="0"/>
        <w:rPr>
          <w:rFonts w:ascii="Arial" w:hAnsi="Arial" w:cs="Arial"/>
          <w:sz w:val="24"/>
          <w:szCs w:val="24"/>
        </w:rPr>
      </w:pPr>
      <w:r w:rsidRPr="00963997">
        <w:rPr>
          <w:rFonts w:ascii="Arial" w:hAnsi="Arial" w:cs="Arial"/>
          <w:sz w:val="24"/>
          <w:szCs w:val="24"/>
        </w:rPr>
        <w:t xml:space="preserve">Limited employment was highlighted as an issue for young people </w:t>
      </w:r>
      <w:r w:rsidR="005A4A4F">
        <w:rPr>
          <w:rFonts w:ascii="Arial" w:hAnsi="Arial" w:cs="Arial"/>
          <w:sz w:val="24"/>
          <w:szCs w:val="24"/>
        </w:rPr>
        <w:t xml:space="preserve">during </w:t>
      </w:r>
      <w:r w:rsidRPr="00963997">
        <w:rPr>
          <w:rFonts w:ascii="Arial" w:hAnsi="Arial" w:cs="Arial"/>
          <w:sz w:val="24"/>
          <w:szCs w:val="24"/>
        </w:rPr>
        <w:t xml:space="preserve">community engagement on the </w:t>
      </w:r>
      <w:r w:rsidR="000825FB" w:rsidRPr="00963997">
        <w:rPr>
          <w:rFonts w:ascii="Arial" w:hAnsi="Arial" w:cs="Arial"/>
          <w:sz w:val="24"/>
          <w:szCs w:val="24"/>
        </w:rPr>
        <w:t>Youth Employment Action Plan in 2019</w:t>
      </w:r>
      <w:r w:rsidRPr="00963997">
        <w:rPr>
          <w:rFonts w:ascii="Arial" w:hAnsi="Arial" w:cs="Arial"/>
          <w:sz w:val="24"/>
          <w:szCs w:val="24"/>
        </w:rPr>
        <w:t xml:space="preserve">. </w:t>
      </w:r>
      <w:r w:rsidR="000825FB" w:rsidRPr="00963997">
        <w:rPr>
          <w:rFonts w:ascii="Arial" w:hAnsi="Arial" w:cs="Arial"/>
          <w:sz w:val="24"/>
          <w:szCs w:val="24"/>
        </w:rPr>
        <w:t xml:space="preserve">The Plan contains 12 actions to prevent young people </w:t>
      </w:r>
      <w:r w:rsidR="005A4A4F">
        <w:rPr>
          <w:rFonts w:ascii="Arial" w:hAnsi="Arial" w:cs="Arial"/>
          <w:sz w:val="24"/>
          <w:szCs w:val="24"/>
        </w:rPr>
        <w:t xml:space="preserve">from </w:t>
      </w:r>
      <w:r w:rsidR="000825FB" w:rsidRPr="00963997">
        <w:rPr>
          <w:rFonts w:ascii="Arial" w:hAnsi="Arial" w:cs="Arial"/>
          <w:sz w:val="24"/>
          <w:szCs w:val="24"/>
        </w:rPr>
        <w:t xml:space="preserve">falling into limited employment and non-participation in training, supporting young people to make informed choices during transitions between school, </w:t>
      </w:r>
      <w:proofErr w:type="gramStart"/>
      <w:r w:rsidR="000825FB" w:rsidRPr="00963997">
        <w:rPr>
          <w:rFonts w:ascii="Arial" w:hAnsi="Arial" w:cs="Arial"/>
          <w:sz w:val="24"/>
          <w:szCs w:val="24"/>
        </w:rPr>
        <w:t>training</w:t>
      </w:r>
      <w:proofErr w:type="gramEnd"/>
      <w:r w:rsidR="000825FB" w:rsidRPr="00963997">
        <w:rPr>
          <w:rFonts w:ascii="Arial" w:hAnsi="Arial" w:cs="Arial"/>
          <w:sz w:val="24"/>
          <w:szCs w:val="24"/>
        </w:rPr>
        <w:t xml:space="preserve"> and work</w:t>
      </w:r>
      <w:r w:rsidR="005A4A4F">
        <w:rPr>
          <w:rFonts w:ascii="Arial" w:hAnsi="Arial" w:cs="Arial"/>
          <w:sz w:val="24"/>
          <w:szCs w:val="24"/>
        </w:rPr>
        <w:t>,</w:t>
      </w:r>
      <w:r w:rsidR="000825FB" w:rsidRPr="00963997">
        <w:rPr>
          <w:rFonts w:ascii="Arial" w:hAnsi="Arial" w:cs="Arial"/>
          <w:sz w:val="24"/>
          <w:szCs w:val="24"/>
        </w:rPr>
        <w:t xml:space="preserve"> and overcom</w:t>
      </w:r>
      <w:r w:rsidR="005A4A4F">
        <w:rPr>
          <w:rFonts w:ascii="Arial" w:hAnsi="Arial" w:cs="Arial"/>
          <w:sz w:val="24"/>
          <w:szCs w:val="24"/>
        </w:rPr>
        <w:t>e</w:t>
      </w:r>
      <w:r w:rsidR="000825FB" w:rsidRPr="00963997">
        <w:rPr>
          <w:rFonts w:ascii="Arial" w:hAnsi="Arial" w:cs="Arial"/>
          <w:sz w:val="24"/>
          <w:szCs w:val="24"/>
        </w:rPr>
        <w:t xml:space="preserve"> barriers to employment. The Long-term Insights Briefing will build on the Youth Employment Action Plan.</w:t>
      </w:r>
    </w:p>
    <w:p w14:paraId="6B5082E7" w14:textId="0F160366" w:rsidR="00FA37AB" w:rsidRPr="00963997" w:rsidRDefault="00AF2CE9" w:rsidP="005D59CC">
      <w:pPr>
        <w:pStyle w:val="Title"/>
        <w:spacing w:before="120" w:after="120" w:line="240" w:lineRule="atLeast"/>
        <w:contextualSpacing w:val="0"/>
      </w:pPr>
      <w:r w:rsidRPr="00963997">
        <w:t>A</w:t>
      </w:r>
      <w:r w:rsidR="005F73F6" w:rsidRPr="00963997">
        <w:t>n issue</w:t>
      </w:r>
      <w:r w:rsidRPr="00963997">
        <w:t xml:space="preserve"> needing </w:t>
      </w:r>
      <w:r w:rsidR="00D54EB6" w:rsidRPr="00963997">
        <w:t>f</w:t>
      </w:r>
      <w:r w:rsidR="002571B4" w:rsidRPr="00963997">
        <w:t xml:space="preserve">urther </w:t>
      </w:r>
      <w:r w:rsidR="00AF6590" w:rsidRPr="00963997">
        <w:t>attention</w:t>
      </w:r>
      <w:r w:rsidR="00F21137" w:rsidRPr="00963997">
        <w:t xml:space="preserve"> and response</w:t>
      </w:r>
    </w:p>
    <w:p w14:paraId="00BDB385" w14:textId="2BF3DBF5" w:rsidR="00811F97" w:rsidRPr="00FD362D" w:rsidRDefault="00FA37AB" w:rsidP="005D59CC">
      <w:pPr>
        <w:spacing w:before="120" w:after="120" w:line="240" w:lineRule="atLeast"/>
        <w:rPr>
          <w:rFonts w:ascii="Arial" w:eastAsiaTheme="minorHAnsi" w:hAnsi="Arial" w:cs="Arial"/>
          <w:sz w:val="24"/>
          <w:lang w:val="en-NZ"/>
        </w:rPr>
      </w:pPr>
      <w:r w:rsidRPr="00963997">
        <w:rPr>
          <w:rFonts w:ascii="Arial" w:eastAsiaTheme="minorHAnsi" w:hAnsi="Arial" w:cs="Arial"/>
          <w:sz w:val="24"/>
          <w:lang w:val="en-NZ"/>
        </w:rPr>
        <w:t>Limited employment is a longstanding problem and a particularly pressing issue for young people</w:t>
      </w:r>
      <w:r w:rsidR="00811F97" w:rsidRPr="00963997">
        <w:rPr>
          <w:rFonts w:ascii="Arial" w:eastAsiaTheme="minorHAnsi" w:hAnsi="Arial" w:cs="Arial"/>
          <w:sz w:val="24"/>
          <w:lang w:val="en-NZ"/>
        </w:rPr>
        <w:t>.</w:t>
      </w:r>
      <w:r w:rsidR="008819E3" w:rsidRPr="00963997">
        <w:rPr>
          <w:rFonts w:ascii="Arial" w:eastAsiaTheme="minorHAnsi" w:hAnsi="Arial" w:cs="Arial"/>
          <w:sz w:val="24"/>
          <w:lang w:val="en-NZ"/>
        </w:rPr>
        <w:t xml:space="preserve"> It is strongly linked to a higher likelihood of limited employment later in life, with negative implications for the health and wellbeing of both individuals and </w:t>
      </w:r>
      <w:r w:rsidR="008819E3" w:rsidRPr="00FD362D">
        <w:rPr>
          <w:rFonts w:ascii="Arial" w:eastAsiaTheme="minorHAnsi" w:hAnsi="Arial" w:cs="Arial"/>
          <w:sz w:val="24"/>
          <w:lang w:val="en-NZ"/>
        </w:rPr>
        <w:t>their whānau.</w:t>
      </w:r>
    </w:p>
    <w:p w14:paraId="351ECD0B" w14:textId="4D119AEF" w:rsidR="009171B1" w:rsidRPr="00963997" w:rsidRDefault="009171B1" w:rsidP="005D59CC">
      <w:pPr>
        <w:pStyle w:val="ListParagraph"/>
        <w:spacing w:before="120" w:after="120" w:line="240" w:lineRule="atLeast"/>
        <w:ind w:left="0"/>
        <w:contextualSpacing w:val="0"/>
        <w:rPr>
          <w:rFonts w:ascii="Arial" w:hAnsi="Arial" w:cs="Arial"/>
          <w:sz w:val="24"/>
          <w:szCs w:val="24"/>
        </w:rPr>
      </w:pPr>
      <w:r w:rsidRPr="00FD362D">
        <w:rPr>
          <w:rFonts w:ascii="Arial" w:hAnsi="Arial" w:cs="Arial"/>
          <w:sz w:val="24"/>
          <w:szCs w:val="24"/>
        </w:rPr>
        <w:t xml:space="preserve">Solving these challenges requires coordinated responses at a local and national level, from employers, educators, communities, iwi, </w:t>
      </w:r>
      <w:proofErr w:type="spellStart"/>
      <w:r w:rsidRPr="00FD362D">
        <w:rPr>
          <w:rFonts w:ascii="Arial" w:hAnsi="Arial" w:cs="Arial"/>
          <w:sz w:val="24"/>
          <w:szCs w:val="24"/>
        </w:rPr>
        <w:t>hapū</w:t>
      </w:r>
      <w:proofErr w:type="spellEnd"/>
      <w:r w:rsidRPr="00FD362D">
        <w:rPr>
          <w:rFonts w:ascii="Arial" w:hAnsi="Arial" w:cs="Arial"/>
          <w:sz w:val="24"/>
          <w:szCs w:val="24"/>
        </w:rPr>
        <w:t xml:space="preserve"> and different parts of government. Considerable effort by these groups has gone into improving </w:t>
      </w:r>
      <w:r w:rsidRPr="00FD362D">
        <w:rPr>
          <w:rFonts w:ascii="Arial" w:hAnsi="Arial" w:cs="Arial"/>
          <w:sz w:val="24"/>
          <w:szCs w:val="24"/>
        </w:rPr>
        <w:lastRenderedPageBreak/>
        <w:t>employment outcomes to ensure at risk young people are not limited in reaching their full potential. However, current employment, labour market and education statistics show us that more could be done.</w:t>
      </w:r>
    </w:p>
    <w:p w14:paraId="72162FDC" w14:textId="45C7C947" w:rsidR="00F21137" w:rsidRPr="00963997" w:rsidRDefault="00F21137" w:rsidP="005D59CC">
      <w:pPr>
        <w:pStyle w:val="Heading1"/>
        <w:spacing w:before="120" w:after="120" w:line="240" w:lineRule="atLeast"/>
        <w:rPr>
          <w:b/>
          <w:bCs/>
        </w:rPr>
      </w:pPr>
      <w:r w:rsidRPr="00963997">
        <w:rPr>
          <w:b/>
          <w:bCs/>
        </w:rPr>
        <w:t>Government response so far</w:t>
      </w:r>
    </w:p>
    <w:p w14:paraId="391AF672" w14:textId="5A8D1973" w:rsidR="00E902FC" w:rsidRPr="00963997" w:rsidRDefault="00FA37AB" w:rsidP="005D59CC">
      <w:pPr>
        <w:spacing w:before="120" w:after="120" w:line="240" w:lineRule="atLeast"/>
      </w:pPr>
      <w:r w:rsidRPr="00A9787F">
        <w:rPr>
          <w:rFonts w:ascii="Arial" w:eastAsiaTheme="minorHAnsi" w:hAnsi="Arial" w:cs="Arial"/>
          <w:sz w:val="24"/>
          <w:lang w:val="en-NZ"/>
        </w:rPr>
        <w:t>Govern</w:t>
      </w:r>
      <w:r w:rsidR="008819E3" w:rsidRPr="00A9787F">
        <w:rPr>
          <w:rFonts w:ascii="Arial" w:eastAsiaTheme="minorHAnsi" w:hAnsi="Arial" w:cs="Arial"/>
          <w:sz w:val="24"/>
          <w:lang w:val="en-NZ"/>
        </w:rPr>
        <w:t>m</w:t>
      </w:r>
      <w:r w:rsidRPr="00A9787F">
        <w:rPr>
          <w:rFonts w:ascii="Arial" w:eastAsiaTheme="minorHAnsi" w:hAnsi="Arial" w:cs="Arial"/>
          <w:sz w:val="24"/>
          <w:lang w:val="en-NZ"/>
        </w:rPr>
        <w:t>ent response to this issue over the last decade has focused on</w:t>
      </w:r>
      <w:r w:rsidR="00E902FC" w:rsidRPr="00A9787F">
        <w:rPr>
          <w:rFonts w:ascii="Arial" w:eastAsiaTheme="minorHAnsi" w:hAnsi="Arial" w:cs="Arial"/>
          <w:sz w:val="24"/>
          <w:lang w:val="en-NZ"/>
        </w:rPr>
        <w:t>:</w:t>
      </w:r>
    </w:p>
    <w:p w14:paraId="50BAB6C8" w14:textId="3F867EC1" w:rsidR="00E902FC" w:rsidRPr="00963997" w:rsidRDefault="00FA37AB" w:rsidP="005D59CC">
      <w:pPr>
        <w:pStyle w:val="ListParagraph"/>
        <w:numPr>
          <w:ilvl w:val="0"/>
          <w:numId w:val="80"/>
        </w:numPr>
        <w:spacing w:before="120" w:after="120" w:line="240" w:lineRule="atLeast"/>
        <w:contextualSpacing w:val="0"/>
        <w:rPr>
          <w:rFonts w:ascii="Arial" w:hAnsi="Arial" w:cs="Arial"/>
          <w:sz w:val="24"/>
        </w:rPr>
      </w:pPr>
      <w:r w:rsidRPr="00963997">
        <w:rPr>
          <w:rFonts w:ascii="Arial" w:hAnsi="Arial" w:cs="Arial"/>
          <w:sz w:val="24"/>
          <w:szCs w:val="24"/>
        </w:rPr>
        <w:t xml:space="preserve">supporting </w:t>
      </w:r>
      <w:r w:rsidR="00E902FC" w:rsidRPr="00963997">
        <w:rPr>
          <w:rFonts w:ascii="Arial" w:hAnsi="Arial" w:cs="Arial"/>
          <w:sz w:val="24"/>
          <w:szCs w:val="24"/>
        </w:rPr>
        <w:t xml:space="preserve">school </w:t>
      </w:r>
      <w:r w:rsidRPr="00963997">
        <w:rPr>
          <w:rFonts w:ascii="Arial" w:hAnsi="Arial" w:cs="Arial"/>
          <w:sz w:val="24"/>
          <w:szCs w:val="24"/>
        </w:rPr>
        <w:t xml:space="preserve">attendance </w:t>
      </w:r>
    </w:p>
    <w:p w14:paraId="51DFCAFF" w14:textId="4B131A9B" w:rsidR="00E902FC" w:rsidRPr="00963997" w:rsidRDefault="00FA37AB" w:rsidP="005D59CC">
      <w:pPr>
        <w:pStyle w:val="ListParagraph"/>
        <w:numPr>
          <w:ilvl w:val="0"/>
          <w:numId w:val="80"/>
        </w:numPr>
        <w:spacing w:before="120" w:after="120" w:line="240" w:lineRule="atLeast"/>
        <w:contextualSpacing w:val="0"/>
        <w:rPr>
          <w:rFonts w:ascii="Arial" w:hAnsi="Arial" w:cs="Arial"/>
          <w:sz w:val="24"/>
        </w:rPr>
      </w:pPr>
      <w:r w:rsidRPr="00963997">
        <w:rPr>
          <w:rFonts w:ascii="Arial" w:hAnsi="Arial" w:cs="Arial"/>
          <w:sz w:val="24"/>
          <w:szCs w:val="24"/>
        </w:rPr>
        <w:t>reducing</w:t>
      </w:r>
      <w:r w:rsidR="00E902FC" w:rsidRPr="00963997">
        <w:rPr>
          <w:rFonts w:ascii="Arial" w:hAnsi="Arial" w:cs="Arial"/>
          <w:sz w:val="24"/>
          <w:szCs w:val="24"/>
        </w:rPr>
        <w:t xml:space="preserve"> numbers of young people who are not in employment, </w:t>
      </w:r>
      <w:proofErr w:type="gramStart"/>
      <w:r w:rsidR="00E902FC" w:rsidRPr="00963997">
        <w:rPr>
          <w:rFonts w:ascii="Arial" w:hAnsi="Arial" w:cs="Arial"/>
          <w:sz w:val="24"/>
          <w:szCs w:val="24"/>
        </w:rPr>
        <w:t>education</w:t>
      </w:r>
      <w:proofErr w:type="gramEnd"/>
      <w:r w:rsidR="00E902FC" w:rsidRPr="00963997">
        <w:rPr>
          <w:rFonts w:ascii="Arial" w:hAnsi="Arial" w:cs="Arial"/>
          <w:sz w:val="24"/>
          <w:szCs w:val="24"/>
        </w:rPr>
        <w:t xml:space="preserve"> or training (NEET)</w:t>
      </w:r>
    </w:p>
    <w:p w14:paraId="0EE32E2E" w14:textId="5D605118" w:rsidR="00E902FC" w:rsidRPr="00963997" w:rsidRDefault="00FA37AB" w:rsidP="005D59CC">
      <w:pPr>
        <w:pStyle w:val="ListParagraph"/>
        <w:numPr>
          <w:ilvl w:val="0"/>
          <w:numId w:val="80"/>
        </w:numPr>
        <w:spacing w:before="120" w:after="120" w:line="240" w:lineRule="atLeast"/>
        <w:contextualSpacing w:val="0"/>
        <w:rPr>
          <w:rFonts w:ascii="Arial" w:hAnsi="Arial" w:cs="Arial"/>
          <w:sz w:val="24"/>
        </w:rPr>
      </w:pPr>
      <w:r w:rsidRPr="00963997">
        <w:rPr>
          <w:rFonts w:ascii="Arial" w:hAnsi="Arial" w:cs="Arial"/>
          <w:sz w:val="24"/>
          <w:szCs w:val="24"/>
        </w:rPr>
        <w:t>improving the rates of educational qualification attainment, namely NCEA Level 2.</w:t>
      </w:r>
    </w:p>
    <w:p w14:paraId="49C9A4DC" w14:textId="21EA946C" w:rsidR="00CA3578" w:rsidRPr="00963997" w:rsidRDefault="00CA3578" w:rsidP="005D59CC">
      <w:pPr>
        <w:pStyle w:val="Heading2"/>
        <w:spacing w:before="120" w:after="120" w:line="240" w:lineRule="atLeast"/>
        <w:rPr>
          <w:rFonts w:ascii="Arial" w:eastAsiaTheme="minorHAnsi" w:hAnsi="Arial" w:cs="Arial"/>
          <w:lang w:val="en-NZ"/>
        </w:rPr>
      </w:pPr>
      <w:r w:rsidRPr="00963997">
        <w:rPr>
          <w:rFonts w:ascii="Arial" w:eastAsiaTheme="minorHAnsi" w:hAnsi="Arial" w:cs="Arial"/>
          <w:lang w:val="en-NZ"/>
        </w:rPr>
        <w:t>Progress and limitations</w:t>
      </w:r>
    </w:p>
    <w:p w14:paraId="28624D8A" w14:textId="53E315D6" w:rsidR="00D6595D" w:rsidRPr="00963997" w:rsidRDefault="00FA37AB" w:rsidP="005D59CC">
      <w:pPr>
        <w:spacing w:before="120" w:after="120" w:line="240" w:lineRule="atLeast"/>
        <w:rPr>
          <w:rFonts w:ascii="Arial" w:eastAsiaTheme="minorHAnsi" w:hAnsi="Arial" w:cs="Arial"/>
          <w:sz w:val="24"/>
          <w:lang w:val="en-NZ"/>
        </w:rPr>
      </w:pPr>
      <w:r w:rsidRPr="00963997">
        <w:rPr>
          <w:rFonts w:ascii="Arial" w:eastAsiaTheme="minorHAnsi" w:hAnsi="Arial" w:cs="Arial"/>
          <w:sz w:val="24"/>
          <w:lang w:val="en-NZ"/>
        </w:rPr>
        <w:t xml:space="preserve">While we have seen </w:t>
      </w:r>
      <w:r w:rsidR="00473F29" w:rsidRPr="00963997">
        <w:rPr>
          <w:rFonts w:ascii="Arial" w:eastAsiaTheme="minorHAnsi" w:hAnsi="Arial" w:cs="Arial"/>
          <w:sz w:val="24"/>
          <w:lang w:val="en-NZ"/>
        </w:rPr>
        <w:t xml:space="preserve">some </w:t>
      </w:r>
      <w:r w:rsidRPr="00963997">
        <w:rPr>
          <w:rFonts w:ascii="Arial" w:eastAsiaTheme="minorHAnsi" w:hAnsi="Arial" w:cs="Arial"/>
          <w:sz w:val="24"/>
          <w:lang w:val="en-NZ"/>
        </w:rPr>
        <w:t xml:space="preserve">progress in these areas, this </w:t>
      </w:r>
      <w:r w:rsidR="00473F29" w:rsidRPr="00963997">
        <w:rPr>
          <w:rFonts w:ascii="Arial" w:eastAsiaTheme="minorHAnsi" w:hAnsi="Arial" w:cs="Arial"/>
          <w:sz w:val="24"/>
          <w:lang w:val="en-NZ"/>
        </w:rPr>
        <w:t>response</w:t>
      </w:r>
      <w:r w:rsidRPr="00963997">
        <w:rPr>
          <w:rFonts w:ascii="Arial" w:eastAsiaTheme="minorHAnsi" w:hAnsi="Arial" w:cs="Arial"/>
          <w:sz w:val="24"/>
          <w:lang w:val="en-NZ"/>
        </w:rPr>
        <w:t xml:space="preserve"> has limitations</w:t>
      </w:r>
      <w:r w:rsidR="00D6595D" w:rsidRPr="00963997">
        <w:rPr>
          <w:rFonts w:ascii="Arial" w:eastAsiaTheme="minorHAnsi" w:hAnsi="Arial" w:cs="Arial"/>
          <w:sz w:val="24"/>
          <w:lang w:val="en-NZ"/>
        </w:rPr>
        <w:t>:</w:t>
      </w:r>
    </w:p>
    <w:p w14:paraId="0BC23A93" w14:textId="645647FC" w:rsidR="0005208D" w:rsidRPr="00963997" w:rsidRDefault="004D05FD" w:rsidP="005D59CC">
      <w:pPr>
        <w:pStyle w:val="ListParagraph"/>
        <w:numPr>
          <w:ilvl w:val="0"/>
          <w:numId w:val="81"/>
        </w:numPr>
        <w:spacing w:before="120" w:after="120" w:line="240" w:lineRule="atLeast"/>
        <w:contextualSpacing w:val="0"/>
        <w:rPr>
          <w:rFonts w:ascii="Arial" w:hAnsi="Arial" w:cs="Arial"/>
          <w:sz w:val="24"/>
        </w:rPr>
      </w:pPr>
      <w:r>
        <w:rPr>
          <w:rFonts w:ascii="Arial" w:hAnsi="Arial" w:cs="Arial"/>
          <w:sz w:val="24"/>
        </w:rPr>
        <w:t>i</w:t>
      </w:r>
      <w:r w:rsidR="00FA37AB" w:rsidRPr="00963997">
        <w:rPr>
          <w:rFonts w:ascii="Arial" w:hAnsi="Arial" w:cs="Arial"/>
          <w:sz w:val="24"/>
        </w:rPr>
        <w:t>n recent years</w:t>
      </w:r>
      <w:r w:rsidR="00473F29" w:rsidRPr="00963997">
        <w:rPr>
          <w:rFonts w:ascii="Arial" w:hAnsi="Arial" w:cs="Arial"/>
          <w:sz w:val="24"/>
        </w:rPr>
        <w:t>,</w:t>
      </w:r>
      <w:r w:rsidR="00FA37AB" w:rsidRPr="00963997">
        <w:rPr>
          <w:rFonts w:ascii="Arial" w:hAnsi="Arial" w:cs="Arial"/>
          <w:sz w:val="24"/>
        </w:rPr>
        <w:t xml:space="preserve"> we have seen qualifications and attendance rates trending down </w:t>
      </w:r>
    </w:p>
    <w:p w14:paraId="0F9C1995" w14:textId="779E59F7" w:rsidR="00CA3578" w:rsidRPr="00963997" w:rsidRDefault="004D05FD" w:rsidP="005D59CC">
      <w:pPr>
        <w:pStyle w:val="ListParagraph"/>
        <w:numPr>
          <w:ilvl w:val="0"/>
          <w:numId w:val="81"/>
        </w:numPr>
        <w:spacing w:before="120" w:after="120" w:line="240" w:lineRule="atLeast"/>
        <w:contextualSpacing w:val="0"/>
        <w:rPr>
          <w:rFonts w:ascii="Arial" w:hAnsi="Arial" w:cs="Arial"/>
          <w:sz w:val="24"/>
        </w:rPr>
      </w:pPr>
      <w:r>
        <w:rPr>
          <w:rFonts w:ascii="Arial" w:hAnsi="Arial" w:cs="Arial"/>
          <w:sz w:val="24"/>
          <w:szCs w:val="24"/>
        </w:rPr>
        <w:t>m</w:t>
      </w:r>
      <w:r w:rsidR="00473F29" w:rsidRPr="00963997">
        <w:rPr>
          <w:rFonts w:ascii="Arial" w:hAnsi="Arial" w:cs="Arial"/>
          <w:sz w:val="24"/>
          <w:szCs w:val="24"/>
        </w:rPr>
        <w:t>any y</w:t>
      </w:r>
      <w:r w:rsidR="00FA37AB" w:rsidRPr="00963997">
        <w:rPr>
          <w:rFonts w:ascii="Arial" w:hAnsi="Arial" w:cs="Arial"/>
          <w:sz w:val="24"/>
          <w:szCs w:val="24"/>
        </w:rPr>
        <w:t>oung people at risk of limited employment may not be counted as NEET</w:t>
      </w:r>
      <w:r w:rsidR="0005208D" w:rsidRPr="00963997">
        <w:rPr>
          <w:rFonts w:ascii="Arial" w:hAnsi="Arial" w:cs="Arial"/>
          <w:sz w:val="24"/>
          <w:szCs w:val="24"/>
        </w:rPr>
        <w:t>, which was a key focus of Government response</w:t>
      </w:r>
      <w:r w:rsidR="00FA37AB" w:rsidRPr="00963997">
        <w:rPr>
          <w:rFonts w:ascii="Arial" w:hAnsi="Arial" w:cs="Arial"/>
          <w:sz w:val="24"/>
          <w:szCs w:val="24"/>
        </w:rPr>
        <w:t xml:space="preserve">. </w:t>
      </w:r>
    </w:p>
    <w:p w14:paraId="3D027978" w14:textId="03DDF93F" w:rsidR="00CA3578" w:rsidRPr="00963997" w:rsidRDefault="00FD69B2" w:rsidP="005D59CC">
      <w:pPr>
        <w:pStyle w:val="Heading2"/>
        <w:spacing w:before="120" w:after="120" w:line="240" w:lineRule="atLeast"/>
        <w:rPr>
          <w:rFonts w:ascii="Arial" w:eastAsiaTheme="minorHAnsi" w:hAnsi="Arial" w:cs="Arial"/>
          <w:lang w:val="en-NZ"/>
        </w:rPr>
      </w:pPr>
      <w:r>
        <w:rPr>
          <w:rFonts w:ascii="Arial" w:eastAsiaTheme="minorHAnsi" w:hAnsi="Arial" w:cs="Arial"/>
          <w:lang w:val="en-NZ"/>
        </w:rPr>
        <w:t>Some i</w:t>
      </w:r>
      <w:r w:rsidR="00CA3578" w:rsidRPr="00963997">
        <w:rPr>
          <w:rFonts w:ascii="Arial" w:eastAsiaTheme="minorHAnsi" w:hAnsi="Arial" w:cs="Arial"/>
          <w:lang w:val="en-NZ"/>
        </w:rPr>
        <w:t xml:space="preserve">nterventions </w:t>
      </w:r>
      <w:r>
        <w:rPr>
          <w:rFonts w:ascii="Arial" w:eastAsiaTheme="minorHAnsi" w:hAnsi="Arial" w:cs="Arial"/>
          <w:lang w:val="en-NZ"/>
        </w:rPr>
        <w:t xml:space="preserve">are </w:t>
      </w:r>
      <w:r w:rsidR="00CA3578" w:rsidRPr="00963997">
        <w:rPr>
          <w:rFonts w:ascii="Arial" w:eastAsiaTheme="minorHAnsi" w:hAnsi="Arial" w:cs="Arial"/>
          <w:lang w:val="en-NZ"/>
        </w:rPr>
        <w:t xml:space="preserve">not effective for all </w:t>
      </w:r>
    </w:p>
    <w:p w14:paraId="4E5D778B" w14:textId="7DEA33D4" w:rsidR="00FA37AB" w:rsidRPr="00963997" w:rsidRDefault="00473F29" w:rsidP="005D59CC">
      <w:pPr>
        <w:spacing w:before="120" w:after="120" w:line="240" w:lineRule="atLeast"/>
        <w:rPr>
          <w:rFonts w:ascii="Arial" w:eastAsiaTheme="minorHAnsi" w:hAnsi="Arial" w:cs="Arial"/>
          <w:sz w:val="24"/>
          <w:lang w:val="en-NZ"/>
        </w:rPr>
      </w:pPr>
      <w:r w:rsidRPr="00963997">
        <w:rPr>
          <w:rFonts w:ascii="Arial" w:eastAsiaTheme="minorHAnsi" w:hAnsi="Arial" w:cs="Arial"/>
          <w:sz w:val="24"/>
          <w:lang w:val="en-NZ"/>
        </w:rPr>
        <w:t>M</w:t>
      </w:r>
      <w:r w:rsidR="00FA37AB" w:rsidRPr="00963997">
        <w:rPr>
          <w:rFonts w:ascii="Arial" w:eastAsiaTheme="minorHAnsi" w:hAnsi="Arial" w:cs="Arial"/>
          <w:sz w:val="24"/>
          <w:lang w:val="en-NZ"/>
        </w:rPr>
        <w:t xml:space="preserve">any interventions </w:t>
      </w:r>
      <w:r w:rsidRPr="00963997">
        <w:rPr>
          <w:rFonts w:ascii="Arial" w:eastAsiaTheme="minorHAnsi" w:hAnsi="Arial" w:cs="Arial"/>
          <w:sz w:val="24"/>
          <w:lang w:val="en-NZ"/>
        </w:rPr>
        <w:t xml:space="preserve">are </w:t>
      </w:r>
      <w:r w:rsidR="00FA37AB" w:rsidRPr="00963997">
        <w:rPr>
          <w:rFonts w:ascii="Arial" w:eastAsiaTheme="minorHAnsi" w:hAnsi="Arial" w:cs="Arial"/>
          <w:sz w:val="24"/>
          <w:lang w:val="en-NZ"/>
        </w:rPr>
        <w:t>in plac</w:t>
      </w:r>
      <w:r w:rsidRPr="00963997">
        <w:rPr>
          <w:rFonts w:ascii="Arial" w:eastAsiaTheme="minorHAnsi" w:hAnsi="Arial" w:cs="Arial"/>
          <w:sz w:val="24"/>
          <w:lang w:val="en-NZ"/>
        </w:rPr>
        <w:t>e</w:t>
      </w:r>
      <w:r w:rsidR="00FA37AB" w:rsidRPr="00963997">
        <w:rPr>
          <w:rFonts w:ascii="Arial" w:eastAsiaTheme="minorHAnsi" w:hAnsi="Arial" w:cs="Arial"/>
          <w:sz w:val="24"/>
          <w:lang w:val="en-NZ"/>
        </w:rPr>
        <w:t xml:space="preserve"> to equip</w:t>
      </w:r>
      <w:r w:rsidR="004F3B33" w:rsidRPr="00963997">
        <w:rPr>
          <w:rFonts w:ascii="Arial" w:eastAsiaTheme="minorHAnsi" w:hAnsi="Arial" w:cs="Arial"/>
          <w:sz w:val="24"/>
          <w:lang w:val="en-NZ"/>
        </w:rPr>
        <w:t xml:space="preserve"> young</w:t>
      </w:r>
      <w:r w:rsidR="00FA37AB" w:rsidRPr="00963997">
        <w:rPr>
          <w:rFonts w:ascii="Arial" w:eastAsiaTheme="minorHAnsi" w:hAnsi="Arial" w:cs="Arial"/>
          <w:sz w:val="24"/>
          <w:lang w:val="en-NZ"/>
        </w:rPr>
        <w:t xml:space="preserve"> people with the skills </w:t>
      </w:r>
      <w:r w:rsidRPr="00963997">
        <w:rPr>
          <w:rFonts w:ascii="Arial" w:eastAsiaTheme="minorHAnsi" w:hAnsi="Arial" w:cs="Arial"/>
          <w:sz w:val="24"/>
          <w:lang w:val="en-NZ"/>
        </w:rPr>
        <w:t>to be part of the workforce, but</w:t>
      </w:r>
      <w:r w:rsidR="00FA37AB" w:rsidRPr="00963997">
        <w:rPr>
          <w:rFonts w:ascii="Arial" w:eastAsiaTheme="minorHAnsi" w:hAnsi="Arial" w:cs="Arial"/>
          <w:sz w:val="24"/>
          <w:lang w:val="en-NZ"/>
        </w:rPr>
        <w:t xml:space="preserve"> they are not effective for </w:t>
      </w:r>
      <w:r w:rsidR="00FB0B1E">
        <w:rPr>
          <w:rFonts w:ascii="Arial" w:eastAsiaTheme="minorHAnsi" w:hAnsi="Arial" w:cs="Arial"/>
          <w:sz w:val="24"/>
          <w:lang w:val="en-NZ"/>
        </w:rPr>
        <w:t>everyone</w:t>
      </w:r>
      <w:r w:rsidR="00FA37AB" w:rsidRPr="00963997">
        <w:rPr>
          <w:rFonts w:ascii="Arial" w:eastAsiaTheme="minorHAnsi" w:hAnsi="Arial" w:cs="Arial"/>
          <w:sz w:val="24"/>
          <w:lang w:val="en-NZ"/>
        </w:rPr>
        <w:t>. We know that:</w:t>
      </w:r>
    </w:p>
    <w:p w14:paraId="72BFDF84" w14:textId="07B67C74" w:rsidR="00FA37AB" w:rsidRPr="00963997" w:rsidRDefault="00FA37AB" w:rsidP="005D59CC">
      <w:pPr>
        <w:pStyle w:val="ListParagraph"/>
        <w:numPr>
          <w:ilvl w:val="0"/>
          <w:numId w:val="82"/>
        </w:numPr>
        <w:spacing w:before="120" w:after="120" w:line="240" w:lineRule="atLeast"/>
        <w:contextualSpacing w:val="0"/>
        <w:rPr>
          <w:rFonts w:ascii="Arial" w:hAnsi="Arial" w:cs="Arial"/>
          <w:sz w:val="24"/>
          <w:szCs w:val="24"/>
        </w:rPr>
      </w:pPr>
      <w:r w:rsidRPr="00963997">
        <w:rPr>
          <w:rFonts w:ascii="Arial" w:hAnsi="Arial" w:cs="Arial"/>
          <w:sz w:val="24"/>
          <w:szCs w:val="24"/>
        </w:rPr>
        <w:t xml:space="preserve">children and young people’s sense of belonging at school and experiences of bullying have been </w:t>
      </w:r>
      <w:r w:rsidR="004F3B33" w:rsidRPr="00963997">
        <w:rPr>
          <w:rFonts w:ascii="Arial" w:hAnsi="Arial" w:cs="Arial"/>
          <w:sz w:val="24"/>
          <w:szCs w:val="24"/>
        </w:rPr>
        <w:t xml:space="preserve">getting worse over time </w:t>
      </w:r>
      <w:r w:rsidRPr="00963997">
        <w:rPr>
          <w:rFonts w:ascii="Arial" w:hAnsi="Arial" w:cs="Arial"/>
          <w:sz w:val="24"/>
          <w:szCs w:val="24"/>
        </w:rPr>
        <w:t>and</w:t>
      </w:r>
      <w:r w:rsidR="004F3B33" w:rsidRPr="00963997">
        <w:rPr>
          <w:rFonts w:ascii="Arial" w:hAnsi="Arial" w:cs="Arial"/>
          <w:sz w:val="24"/>
          <w:szCs w:val="24"/>
        </w:rPr>
        <w:t xml:space="preserve"> these experiences </w:t>
      </w:r>
      <w:r w:rsidRPr="00963997">
        <w:rPr>
          <w:rFonts w:ascii="Arial" w:hAnsi="Arial" w:cs="Arial"/>
          <w:sz w:val="24"/>
          <w:szCs w:val="24"/>
        </w:rPr>
        <w:t>can follow them into employment</w:t>
      </w:r>
    </w:p>
    <w:p w14:paraId="45EECADB" w14:textId="71EF9159" w:rsidR="00FA37AB" w:rsidRPr="00963997" w:rsidRDefault="00FA37AB" w:rsidP="005D59CC">
      <w:pPr>
        <w:pStyle w:val="ListParagraph"/>
        <w:numPr>
          <w:ilvl w:val="0"/>
          <w:numId w:val="82"/>
        </w:numPr>
        <w:spacing w:before="120" w:after="120" w:line="240" w:lineRule="atLeast"/>
        <w:contextualSpacing w:val="0"/>
        <w:rPr>
          <w:rFonts w:ascii="Arial" w:hAnsi="Arial" w:cs="Arial"/>
          <w:sz w:val="24"/>
          <w:szCs w:val="24"/>
        </w:rPr>
      </w:pPr>
      <w:r w:rsidRPr="00963997">
        <w:rPr>
          <w:rFonts w:ascii="Arial" w:hAnsi="Arial" w:cs="Arial"/>
          <w:sz w:val="24"/>
          <w:szCs w:val="24"/>
        </w:rPr>
        <w:t xml:space="preserve">the school system does not prepare a significant group of young people with the knowledge, </w:t>
      </w:r>
      <w:proofErr w:type="gramStart"/>
      <w:r w:rsidRPr="00963997">
        <w:rPr>
          <w:rFonts w:ascii="Arial" w:hAnsi="Arial" w:cs="Arial"/>
          <w:sz w:val="24"/>
          <w:szCs w:val="24"/>
        </w:rPr>
        <w:t>skills</w:t>
      </w:r>
      <w:proofErr w:type="gramEnd"/>
      <w:r w:rsidRPr="00963997">
        <w:rPr>
          <w:rFonts w:ascii="Arial" w:hAnsi="Arial" w:cs="Arial"/>
          <w:sz w:val="24"/>
          <w:szCs w:val="24"/>
        </w:rPr>
        <w:t xml:space="preserve"> and attitudes </w:t>
      </w:r>
      <w:r w:rsidR="00D6595D" w:rsidRPr="00963997">
        <w:rPr>
          <w:rFonts w:ascii="Arial" w:hAnsi="Arial" w:cs="Arial"/>
          <w:sz w:val="24"/>
          <w:szCs w:val="24"/>
        </w:rPr>
        <w:t>to succeed in</w:t>
      </w:r>
      <w:r w:rsidRPr="00963997">
        <w:rPr>
          <w:rFonts w:ascii="Arial" w:hAnsi="Arial" w:cs="Arial"/>
          <w:sz w:val="24"/>
          <w:szCs w:val="24"/>
        </w:rPr>
        <w:t xml:space="preserve"> </w:t>
      </w:r>
      <w:r w:rsidR="00D6595D" w:rsidRPr="00963997">
        <w:rPr>
          <w:rFonts w:ascii="Arial" w:hAnsi="Arial" w:cs="Arial"/>
          <w:sz w:val="24"/>
          <w:szCs w:val="24"/>
        </w:rPr>
        <w:t xml:space="preserve">work </w:t>
      </w:r>
      <w:r w:rsidRPr="00963997">
        <w:rPr>
          <w:rFonts w:ascii="Arial" w:hAnsi="Arial" w:cs="Arial"/>
          <w:sz w:val="24"/>
          <w:szCs w:val="24"/>
        </w:rPr>
        <w:t>or tertiary education</w:t>
      </w:r>
    </w:p>
    <w:p w14:paraId="74E90FCB" w14:textId="1CF6B4B1" w:rsidR="00FA37AB" w:rsidRPr="00963997" w:rsidRDefault="00FA37AB" w:rsidP="005D59CC">
      <w:pPr>
        <w:pStyle w:val="ListParagraph"/>
        <w:numPr>
          <w:ilvl w:val="0"/>
          <w:numId w:val="82"/>
        </w:numPr>
        <w:spacing w:before="120" w:after="120" w:line="240" w:lineRule="atLeast"/>
        <w:contextualSpacing w:val="0"/>
        <w:rPr>
          <w:rFonts w:ascii="Arial" w:hAnsi="Arial" w:cs="Arial"/>
          <w:sz w:val="24"/>
          <w:szCs w:val="24"/>
        </w:rPr>
      </w:pPr>
      <w:r w:rsidRPr="00963997">
        <w:rPr>
          <w:rFonts w:ascii="Arial" w:hAnsi="Arial" w:cs="Arial"/>
          <w:sz w:val="24"/>
          <w:szCs w:val="24"/>
        </w:rPr>
        <w:t xml:space="preserve">for people who leave </w:t>
      </w:r>
      <w:r w:rsidR="00FD69B2">
        <w:rPr>
          <w:rFonts w:ascii="Arial" w:hAnsi="Arial" w:cs="Arial"/>
          <w:sz w:val="24"/>
          <w:szCs w:val="24"/>
        </w:rPr>
        <w:t xml:space="preserve">secondary </w:t>
      </w:r>
      <w:r w:rsidRPr="00963997">
        <w:rPr>
          <w:rFonts w:ascii="Arial" w:hAnsi="Arial" w:cs="Arial"/>
          <w:sz w:val="24"/>
          <w:szCs w:val="24"/>
        </w:rPr>
        <w:t xml:space="preserve">school with limited qualifications, the tertiary education system can offer limited quality learning options that </w:t>
      </w:r>
      <w:r w:rsidR="004F3B33" w:rsidRPr="00963997">
        <w:rPr>
          <w:rFonts w:ascii="Arial" w:hAnsi="Arial" w:cs="Arial"/>
          <w:sz w:val="24"/>
          <w:szCs w:val="24"/>
        </w:rPr>
        <w:t>lead to</w:t>
      </w:r>
      <w:r w:rsidRPr="00963997">
        <w:rPr>
          <w:rFonts w:ascii="Arial" w:hAnsi="Arial" w:cs="Arial"/>
          <w:sz w:val="24"/>
          <w:szCs w:val="24"/>
        </w:rPr>
        <w:t xml:space="preserve"> ongoing employment </w:t>
      </w:r>
    </w:p>
    <w:p w14:paraId="2C0FCF97" w14:textId="5EEA0D19" w:rsidR="00FA37AB" w:rsidRPr="00963997" w:rsidRDefault="00FA37AB" w:rsidP="005D59CC">
      <w:pPr>
        <w:pStyle w:val="ListParagraph"/>
        <w:numPr>
          <w:ilvl w:val="0"/>
          <w:numId w:val="82"/>
        </w:numPr>
        <w:spacing w:before="120" w:after="120" w:line="240" w:lineRule="atLeast"/>
        <w:contextualSpacing w:val="0"/>
        <w:rPr>
          <w:rFonts w:ascii="Arial" w:hAnsi="Arial" w:cs="Arial"/>
          <w:sz w:val="24"/>
          <w:szCs w:val="24"/>
        </w:rPr>
      </w:pPr>
      <w:r w:rsidRPr="00963997">
        <w:rPr>
          <w:rFonts w:ascii="Arial" w:hAnsi="Arial" w:cs="Arial"/>
          <w:sz w:val="24"/>
          <w:szCs w:val="24"/>
        </w:rPr>
        <w:t>employers may have mismatched expectations about young workers new to employment, or how to best support them</w:t>
      </w:r>
    </w:p>
    <w:p w14:paraId="759B9C9C" w14:textId="5A0BDDAC" w:rsidR="00FA37AB" w:rsidRPr="00963997" w:rsidRDefault="00FA37AB" w:rsidP="005D59CC">
      <w:pPr>
        <w:pStyle w:val="ListParagraph"/>
        <w:numPr>
          <w:ilvl w:val="0"/>
          <w:numId w:val="82"/>
        </w:numPr>
        <w:spacing w:before="120" w:after="120" w:line="240" w:lineRule="atLeast"/>
        <w:contextualSpacing w:val="0"/>
        <w:rPr>
          <w:rFonts w:ascii="Arial" w:hAnsi="Arial" w:cs="Arial"/>
          <w:sz w:val="24"/>
          <w:szCs w:val="24"/>
        </w:rPr>
      </w:pPr>
      <w:r w:rsidRPr="00963997">
        <w:rPr>
          <w:rFonts w:ascii="Arial" w:hAnsi="Arial" w:cs="Arial"/>
          <w:sz w:val="24"/>
          <w:szCs w:val="24"/>
        </w:rPr>
        <w:t xml:space="preserve">the social welfare system (which includes employment services and assistance) is less effective in </w:t>
      </w:r>
      <w:r w:rsidR="00F3061D" w:rsidRPr="00963997">
        <w:rPr>
          <w:rFonts w:ascii="Arial" w:hAnsi="Arial" w:cs="Arial"/>
          <w:sz w:val="24"/>
          <w:szCs w:val="24"/>
        </w:rPr>
        <w:t>supporting young people to exit and then stay off</w:t>
      </w:r>
      <w:r w:rsidRPr="00963997">
        <w:rPr>
          <w:rFonts w:ascii="Arial" w:hAnsi="Arial" w:cs="Arial"/>
          <w:sz w:val="24"/>
          <w:szCs w:val="24"/>
        </w:rPr>
        <w:t xml:space="preserve"> </w:t>
      </w:r>
      <w:r w:rsidR="00F3061D" w:rsidRPr="00963997">
        <w:rPr>
          <w:rFonts w:ascii="Arial" w:hAnsi="Arial" w:cs="Arial"/>
          <w:sz w:val="24"/>
          <w:szCs w:val="24"/>
        </w:rPr>
        <w:t xml:space="preserve">benefit </w:t>
      </w:r>
      <w:r w:rsidRPr="00963997">
        <w:rPr>
          <w:rFonts w:ascii="Arial" w:hAnsi="Arial" w:cs="Arial"/>
          <w:sz w:val="24"/>
          <w:szCs w:val="24"/>
        </w:rPr>
        <w:t>compared to other age groups</w:t>
      </w:r>
    </w:p>
    <w:p w14:paraId="6DD3F4D2" w14:textId="0C5AE6D4" w:rsidR="00FA37AB" w:rsidRPr="00963997" w:rsidRDefault="00FA37AB" w:rsidP="005D59CC">
      <w:pPr>
        <w:pStyle w:val="ListParagraph"/>
        <w:numPr>
          <w:ilvl w:val="0"/>
          <w:numId w:val="82"/>
        </w:numPr>
        <w:spacing w:before="120" w:after="120" w:line="240" w:lineRule="atLeast"/>
        <w:contextualSpacing w:val="0"/>
        <w:rPr>
          <w:rFonts w:ascii="Arial" w:hAnsi="Arial" w:cs="Arial"/>
          <w:sz w:val="24"/>
          <w:szCs w:val="24"/>
        </w:rPr>
      </w:pPr>
      <w:r w:rsidRPr="00963997">
        <w:rPr>
          <w:rFonts w:ascii="Arial" w:hAnsi="Arial" w:cs="Arial"/>
          <w:sz w:val="24"/>
          <w:szCs w:val="24"/>
        </w:rPr>
        <w:t>young people who lack the right skills in the labour market face challenges getting into and staying in quality employment.</w:t>
      </w:r>
    </w:p>
    <w:p w14:paraId="7D32A238" w14:textId="77777777" w:rsidR="00F3061D" w:rsidRPr="00963997" w:rsidRDefault="00FA37AB" w:rsidP="005D59CC">
      <w:pPr>
        <w:spacing w:before="120" w:after="120" w:line="240" w:lineRule="atLeast"/>
        <w:rPr>
          <w:rFonts w:ascii="Arial" w:eastAsiaTheme="minorHAnsi" w:hAnsi="Arial" w:cs="Arial"/>
          <w:sz w:val="24"/>
          <w:lang w:val="en-NZ"/>
        </w:rPr>
      </w:pPr>
      <w:r w:rsidRPr="00963997">
        <w:rPr>
          <w:rFonts w:ascii="Arial" w:eastAsiaTheme="minorHAnsi" w:hAnsi="Arial" w:cs="Arial"/>
          <w:sz w:val="24"/>
          <w:lang w:val="en-NZ"/>
        </w:rPr>
        <w:t xml:space="preserve">These issues are often interlinked and are compounded by individual or community social factors. </w:t>
      </w:r>
    </w:p>
    <w:p w14:paraId="776408B5" w14:textId="79E7B86D" w:rsidR="00FA37AB" w:rsidRDefault="00F3061D" w:rsidP="005D59CC">
      <w:pPr>
        <w:spacing w:before="120" w:after="120" w:line="240" w:lineRule="atLeast"/>
        <w:rPr>
          <w:rFonts w:ascii="Arial" w:eastAsiaTheme="minorHAnsi" w:hAnsi="Arial" w:cs="Arial"/>
          <w:sz w:val="24"/>
          <w:lang w:val="en-NZ"/>
        </w:rPr>
      </w:pPr>
      <w:r w:rsidRPr="00963997">
        <w:rPr>
          <w:rFonts w:ascii="Arial" w:eastAsiaTheme="minorHAnsi" w:hAnsi="Arial" w:cs="Arial"/>
          <w:sz w:val="24"/>
          <w:lang w:val="en-NZ"/>
        </w:rPr>
        <w:t>S</w:t>
      </w:r>
      <w:r w:rsidR="00FA37AB" w:rsidRPr="00963997">
        <w:rPr>
          <w:rFonts w:ascii="Arial" w:eastAsiaTheme="minorHAnsi" w:hAnsi="Arial" w:cs="Arial"/>
          <w:sz w:val="24"/>
          <w:lang w:val="en-NZ"/>
        </w:rPr>
        <w:t xml:space="preserve">ome recent programmes and interventions show signs of being effective, </w:t>
      </w:r>
      <w:r w:rsidRPr="00963997">
        <w:rPr>
          <w:rFonts w:ascii="Arial" w:eastAsiaTheme="minorHAnsi" w:hAnsi="Arial" w:cs="Arial"/>
          <w:sz w:val="24"/>
          <w:lang w:val="en-NZ"/>
        </w:rPr>
        <w:t xml:space="preserve">but </w:t>
      </w:r>
      <w:r w:rsidR="00FA37AB" w:rsidRPr="00963997">
        <w:rPr>
          <w:rFonts w:ascii="Arial" w:eastAsiaTheme="minorHAnsi" w:hAnsi="Arial" w:cs="Arial"/>
          <w:sz w:val="24"/>
          <w:lang w:val="en-NZ"/>
        </w:rPr>
        <w:t>we do not have a complete understanding of what is most effective.</w:t>
      </w:r>
    </w:p>
    <w:p w14:paraId="499B269B" w14:textId="469C82AE" w:rsidR="0030774C" w:rsidRDefault="0030774C" w:rsidP="005D59CC">
      <w:pPr>
        <w:spacing w:before="120" w:after="120" w:line="240" w:lineRule="atLeast"/>
        <w:rPr>
          <w:rFonts w:ascii="Arial" w:eastAsiaTheme="minorHAnsi" w:hAnsi="Arial" w:cs="Arial"/>
          <w:sz w:val="24"/>
          <w:lang w:val="en-NZ"/>
        </w:rPr>
      </w:pPr>
      <w:r>
        <w:rPr>
          <w:rFonts w:ascii="Arial" w:eastAsiaTheme="minorHAnsi" w:hAnsi="Arial" w:cs="Arial"/>
          <w:sz w:val="24"/>
          <w:lang w:val="en-NZ"/>
        </w:rPr>
        <w:t>Y</w:t>
      </w:r>
      <w:r w:rsidRPr="0030774C">
        <w:rPr>
          <w:rFonts w:ascii="Arial" w:eastAsiaTheme="minorHAnsi" w:hAnsi="Arial" w:cs="Arial"/>
          <w:sz w:val="24"/>
          <w:lang w:val="en-NZ"/>
        </w:rPr>
        <w:t>oung people contribute to the economy and society in a variety of ways (for example, through caring or volunteering)</w:t>
      </w:r>
      <w:r>
        <w:rPr>
          <w:rFonts w:ascii="Arial" w:eastAsiaTheme="minorHAnsi" w:hAnsi="Arial" w:cs="Arial"/>
          <w:sz w:val="24"/>
          <w:lang w:val="en-NZ"/>
        </w:rPr>
        <w:t>. A</w:t>
      </w:r>
      <w:r w:rsidRPr="0030774C">
        <w:rPr>
          <w:rFonts w:ascii="Arial" w:eastAsiaTheme="minorHAnsi" w:hAnsi="Arial" w:cs="Arial"/>
          <w:sz w:val="24"/>
          <w:lang w:val="en-NZ"/>
        </w:rPr>
        <w:t xml:space="preserve">s part of this work, it is important </w:t>
      </w:r>
      <w:r>
        <w:rPr>
          <w:rFonts w:ascii="Arial" w:eastAsiaTheme="minorHAnsi" w:hAnsi="Arial" w:cs="Arial"/>
          <w:sz w:val="24"/>
          <w:lang w:val="en-NZ"/>
        </w:rPr>
        <w:t xml:space="preserve">to make </w:t>
      </w:r>
      <w:r>
        <w:rPr>
          <w:rFonts w:ascii="Arial" w:eastAsiaTheme="minorHAnsi" w:hAnsi="Arial" w:cs="Arial"/>
          <w:sz w:val="24"/>
          <w:lang w:val="en-NZ"/>
        </w:rPr>
        <w:lastRenderedPageBreak/>
        <w:t xml:space="preserve">sure that </w:t>
      </w:r>
      <w:r w:rsidRPr="0030774C">
        <w:rPr>
          <w:rFonts w:ascii="Arial" w:eastAsiaTheme="minorHAnsi" w:hAnsi="Arial" w:cs="Arial"/>
          <w:sz w:val="24"/>
          <w:lang w:val="en-NZ"/>
        </w:rPr>
        <w:t xml:space="preserve">young people have employment pathways available to them </w:t>
      </w:r>
      <w:r>
        <w:rPr>
          <w:rFonts w:ascii="Arial" w:eastAsiaTheme="minorHAnsi" w:hAnsi="Arial" w:cs="Arial"/>
          <w:sz w:val="24"/>
          <w:lang w:val="en-NZ"/>
        </w:rPr>
        <w:t>so</w:t>
      </w:r>
      <w:r w:rsidRPr="0030774C">
        <w:rPr>
          <w:rFonts w:ascii="Arial" w:eastAsiaTheme="minorHAnsi" w:hAnsi="Arial" w:cs="Arial"/>
          <w:sz w:val="24"/>
          <w:lang w:val="en-NZ"/>
        </w:rPr>
        <w:t xml:space="preserve"> they are not locked out of future labour market opportunities because they come from </w:t>
      </w:r>
      <w:r>
        <w:rPr>
          <w:rFonts w:ascii="Arial" w:eastAsiaTheme="minorHAnsi" w:hAnsi="Arial" w:cs="Arial"/>
          <w:sz w:val="24"/>
          <w:lang w:val="en-NZ"/>
        </w:rPr>
        <w:t>“</w:t>
      </w:r>
      <w:r w:rsidRPr="0030774C">
        <w:rPr>
          <w:rFonts w:ascii="Arial" w:eastAsiaTheme="minorHAnsi" w:hAnsi="Arial" w:cs="Arial"/>
          <w:sz w:val="24"/>
          <w:lang w:val="en-NZ"/>
        </w:rPr>
        <w:t>non-traditional</w:t>
      </w:r>
      <w:r>
        <w:rPr>
          <w:rFonts w:ascii="Arial" w:eastAsiaTheme="minorHAnsi" w:hAnsi="Arial" w:cs="Arial"/>
          <w:sz w:val="24"/>
          <w:lang w:val="en-NZ"/>
        </w:rPr>
        <w:t>”</w:t>
      </w:r>
      <w:r w:rsidRPr="0030774C">
        <w:rPr>
          <w:rFonts w:ascii="Arial" w:eastAsiaTheme="minorHAnsi" w:hAnsi="Arial" w:cs="Arial"/>
          <w:sz w:val="24"/>
          <w:lang w:val="en-NZ"/>
        </w:rPr>
        <w:t xml:space="preserve"> pathways</w:t>
      </w:r>
      <w:r>
        <w:rPr>
          <w:rFonts w:ascii="Arial" w:eastAsiaTheme="minorHAnsi" w:hAnsi="Arial" w:cs="Arial"/>
          <w:sz w:val="24"/>
          <w:lang w:val="en-NZ"/>
        </w:rPr>
        <w:t xml:space="preserve"> (for example young people who do not go from secondary school to university to a career-oriented entry-level role)</w:t>
      </w:r>
      <w:r w:rsidRPr="0030774C">
        <w:rPr>
          <w:rFonts w:ascii="Arial" w:eastAsiaTheme="minorHAnsi" w:hAnsi="Arial" w:cs="Arial"/>
          <w:sz w:val="24"/>
          <w:lang w:val="en-NZ"/>
        </w:rPr>
        <w:t>.</w:t>
      </w:r>
    </w:p>
    <w:p w14:paraId="7829B884" w14:textId="77777777" w:rsidR="00FD69B2" w:rsidRDefault="00FD69B2" w:rsidP="00FD69B2">
      <w:pPr>
        <w:spacing w:before="120" w:after="120" w:line="240" w:lineRule="atLeast"/>
        <w:rPr>
          <w:rFonts w:ascii="Arial" w:eastAsiaTheme="minorHAnsi" w:hAnsi="Arial" w:cs="Arial"/>
          <w:sz w:val="24"/>
          <w:lang w:val="en-NZ"/>
        </w:rPr>
      </w:pPr>
      <w:r>
        <w:rPr>
          <w:rFonts w:ascii="Arial" w:eastAsiaTheme="minorHAnsi" w:hAnsi="Arial" w:cs="Arial"/>
          <w:sz w:val="24"/>
          <w:lang w:val="en-NZ"/>
        </w:rPr>
        <w:t>Without the right interventions, youth at risk of limited employment may continue to experience poorer long-term outcomes, and the proportion of young people at higher risk may grow in the future.</w:t>
      </w:r>
    </w:p>
    <w:p w14:paraId="13704255" w14:textId="1BDBFFB6" w:rsidR="00105CF4" w:rsidRPr="00963997" w:rsidRDefault="00105CF4" w:rsidP="005D59CC">
      <w:pPr>
        <w:pStyle w:val="Heading1"/>
        <w:spacing w:before="120" w:after="120" w:line="240" w:lineRule="atLeast"/>
        <w:rPr>
          <w:b/>
          <w:bCs/>
        </w:rPr>
      </w:pPr>
      <w:r w:rsidRPr="00963997">
        <w:rPr>
          <w:rStyle w:val="Heading2Char"/>
          <w:b/>
          <w:bCs/>
          <w:sz w:val="32"/>
          <w:szCs w:val="32"/>
        </w:rPr>
        <w:t xml:space="preserve">Future trends </w:t>
      </w:r>
      <w:r w:rsidR="000E7650" w:rsidRPr="00963997">
        <w:rPr>
          <w:rStyle w:val="Heading2Char"/>
          <w:b/>
          <w:bCs/>
          <w:sz w:val="32"/>
          <w:szCs w:val="32"/>
        </w:rPr>
        <w:t xml:space="preserve">will </w:t>
      </w:r>
      <w:r w:rsidRPr="00963997">
        <w:rPr>
          <w:rStyle w:val="Heading2Char"/>
          <w:b/>
          <w:bCs/>
          <w:sz w:val="32"/>
          <w:szCs w:val="32"/>
        </w:rPr>
        <w:t>affect young people</w:t>
      </w:r>
      <w:r w:rsidR="00B20B6E" w:rsidRPr="00963997">
        <w:rPr>
          <w:rStyle w:val="Heading2Char"/>
          <w:b/>
          <w:bCs/>
          <w:sz w:val="32"/>
          <w:szCs w:val="32"/>
        </w:rPr>
        <w:t>’</w:t>
      </w:r>
      <w:r w:rsidRPr="00963997">
        <w:rPr>
          <w:rStyle w:val="Heading2Char"/>
          <w:b/>
          <w:bCs/>
          <w:sz w:val="32"/>
          <w:szCs w:val="32"/>
        </w:rPr>
        <w:t>s employment opportunities</w:t>
      </w:r>
    </w:p>
    <w:p w14:paraId="4CF1DFF3" w14:textId="77777777" w:rsidR="00FD69B2" w:rsidRDefault="00FD69B2" w:rsidP="00FD69B2">
      <w:pPr>
        <w:spacing w:before="120" w:after="120" w:line="240" w:lineRule="atLeast"/>
        <w:rPr>
          <w:rFonts w:ascii="Arial" w:hAnsi="Arial" w:cs="Arial"/>
          <w:sz w:val="24"/>
        </w:rPr>
      </w:pPr>
      <w:r>
        <w:rPr>
          <w:rFonts w:ascii="Arial" w:eastAsiaTheme="minorHAnsi" w:hAnsi="Arial" w:cs="Arial"/>
          <w:sz w:val="24"/>
        </w:rPr>
        <w:t xml:space="preserve">Future trends will also mean we need to change our approach to addressing limited employment. </w:t>
      </w:r>
    </w:p>
    <w:p w14:paraId="711AD148" w14:textId="0F65878C" w:rsidR="00317722" w:rsidRPr="00963997" w:rsidRDefault="00317722" w:rsidP="005D59CC">
      <w:pPr>
        <w:pStyle w:val="ListParagraph"/>
        <w:spacing w:before="120" w:after="120" w:line="240" w:lineRule="atLeast"/>
        <w:ind w:left="0"/>
        <w:contextualSpacing w:val="0"/>
        <w:rPr>
          <w:rFonts w:ascii="Arial" w:hAnsi="Arial" w:cs="Arial"/>
          <w:sz w:val="24"/>
          <w:szCs w:val="24"/>
        </w:rPr>
      </w:pPr>
      <w:r w:rsidRPr="00963997">
        <w:rPr>
          <w:rFonts w:ascii="Arial" w:hAnsi="Arial" w:cs="Arial"/>
          <w:sz w:val="24"/>
          <w:szCs w:val="24"/>
        </w:rPr>
        <w:t xml:space="preserve">The challenges </w:t>
      </w:r>
      <w:r w:rsidR="00FD6522" w:rsidRPr="00963997">
        <w:rPr>
          <w:rFonts w:ascii="Arial" w:hAnsi="Arial" w:cs="Arial"/>
          <w:sz w:val="24"/>
          <w:szCs w:val="24"/>
        </w:rPr>
        <w:t xml:space="preserve">for youth at risk of limited employment </w:t>
      </w:r>
      <w:r w:rsidRPr="00963997">
        <w:rPr>
          <w:rFonts w:ascii="Arial" w:hAnsi="Arial" w:cs="Arial"/>
          <w:sz w:val="24"/>
          <w:szCs w:val="24"/>
        </w:rPr>
        <w:t xml:space="preserve">could become greater as New Zealand’s population changes and we deal with </w:t>
      </w:r>
      <w:r w:rsidR="00FD6522" w:rsidRPr="00963997">
        <w:rPr>
          <w:rFonts w:ascii="Arial" w:hAnsi="Arial" w:cs="Arial"/>
          <w:sz w:val="24"/>
          <w:szCs w:val="24"/>
        </w:rPr>
        <w:t xml:space="preserve">things like </w:t>
      </w:r>
      <w:r w:rsidRPr="00963997">
        <w:rPr>
          <w:rFonts w:ascii="Arial" w:hAnsi="Arial" w:cs="Arial"/>
          <w:sz w:val="24"/>
          <w:szCs w:val="24"/>
        </w:rPr>
        <w:t xml:space="preserve">new technology, changes in the demand for New Zealand’s exports as well as climate change and the need to decarbonise our economy. </w:t>
      </w:r>
    </w:p>
    <w:p w14:paraId="6967AB5D" w14:textId="3F928E6B" w:rsidR="00FD69B2" w:rsidRDefault="00FD69B2" w:rsidP="00FD69B2">
      <w:pPr>
        <w:spacing w:before="120" w:after="120" w:line="240" w:lineRule="atLeast"/>
        <w:rPr>
          <w:rFonts w:ascii="Arial" w:hAnsi="Arial" w:cs="Arial"/>
          <w:sz w:val="24"/>
        </w:rPr>
      </w:pPr>
      <w:r>
        <w:rPr>
          <w:rFonts w:ascii="Arial" w:hAnsi="Arial" w:cs="Arial"/>
          <w:sz w:val="24"/>
        </w:rPr>
        <w:t>The skills needed for effective participation in the labour market may change</w:t>
      </w:r>
      <w:r w:rsidR="00FB0B1E">
        <w:rPr>
          <w:rFonts w:ascii="Arial" w:hAnsi="Arial" w:cs="Arial"/>
          <w:sz w:val="24"/>
        </w:rPr>
        <w:t>. T</w:t>
      </w:r>
      <w:r>
        <w:rPr>
          <w:rFonts w:ascii="Arial" w:hAnsi="Arial" w:cs="Arial"/>
          <w:sz w:val="24"/>
        </w:rPr>
        <w:t xml:space="preserve">he types of jobs and industries </w:t>
      </w:r>
      <w:r w:rsidR="00FB0B1E">
        <w:rPr>
          <w:rFonts w:ascii="Arial" w:hAnsi="Arial" w:cs="Arial"/>
          <w:sz w:val="24"/>
        </w:rPr>
        <w:t xml:space="preserve">and </w:t>
      </w:r>
      <w:r>
        <w:rPr>
          <w:rFonts w:ascii="Arial" w:hAnsi="Arial" w:cs="Arial"/>
          <w:sz w:val="24"/>
        </w:rPr>
        <w:t xml:space="preserve">where they are located, may also shift. Some young people may need additional or new types of support to successfully navigate these </w:t>
      </w:r>
      <w:r w:rsidR="00FB0B1E">
        <w:rPr>
          <w:rFonts w:ascii="Arial" w:hAnsi="Arial" w:cs="Arial"/>
          <w:sz w:val="24"/>
        </w:rPr>
        <w:t>changes</w:t>
      </w:r>
      <w:r>
        <w:rPr>
          <w:rFonts w:ascii="Arial" w:hAnsi="Arial" w:cs="Arial"/>
          <w:sz w:val="24"/>
        </w:rPr>
        <w:t>.</w:t>
      </w:r>
    </w:p>
    <w:p w14:paraId="4925FFC7" w14:textId="77777777" w:rsidR="00FD69B2" w:rsidRDefault="00FD69B2" w:rsidP="00FD69B2">
      <w:pPr>
        <w:pStyle w:val="ListParagraph"/>
        <w:spacing w:before="120" w:after="120" w:line="240" w:lineRule="atLeast"/>
        <w:ind w:left="0"/>
        <w:rPr>
          <w:rFonts w:ascii="Arial" w:hAnsi="Arial" w:cs="Arial"/>
          <w:sz w:val="24"/>
          <w:szCs w:val="24"/>
        </w:rPr>
      </w:pPr>
      <w:r>
        <w:rPr>
          <w:rFonts w:ascii="Arial" w:hAnsi="Arial" w:cs="Arial"/>
          <w:sz w:val="24"/>
          <w:szCs w:val="24"/>
        </w:rPr>
        <w:t xml:space="preserve">These trends may lead to disruption in the labour market, that if left unmanaged, could result in even greater inequality of outcomes for young people at risk of limited employment. </w:t>
      </w:r>
    </w:p>
    <w:p w14:paraId="4FAA6CB5" w14:textId="3A8A4963" w:rsidR="00D54EB6" w:rsidRPr="004D05FD" w:rsidRDefault="00D54EB6" w:rsidP="005D59CC">
      <w:pPr>
        <w:pStyle w:val="Heading2"/>
        <w:spacing w:before="120" w:after="120" w:line="240" w:lineRule="atLeast"/>
        <w:rPr>
          <w:rFonts w:ascii="Arial" w:hAnsi="Arial" w:cs="Arial"/>
        </w:rPr>
      </w:pPr>
      <w:r w:rsidRPr="004D05FD">
        <w:rPr>
          <w:rFonts w:ascii="Arial" w:hAnsi="Arial" w:cs="Arial"/>
        </w:rPr>
        <w:t>Labour market</w:t>
      </w:r>
      <w:r w:rsidR="00674157" w:rsidRPr="004D05FD">
        <w:rPr>
          <w:rFonts w:ascii="Arial" w:hAnsi="Arial" w:cs="Arial"/>
        </w:rPr>
        <w:t xml:space="preserve"> performance</w:t>
      </w:r>
    </w:p>
    <w:p w14:paraId="5021C0AF" w14:textId="2B8BC66A" w:rsidR="00EF4317" w:rsidRPr="00963997" w:rsidRDefault="00FA37AB" w:rsidP="005D59CC">
      <w:pPr>
        <w:spacing w:before="120" w:after="120" w:line="240" w:lineRule="atLeast"/>
        <w:rPr>
          <w:rFonts w:ascii="Arial" w:eastAsiaTheme="minorHAnsi" w:hAnsi="Arial" w:cs="Arial"/>
          <w:sz w:val="24"/>
          <w:lang w:val="en-NZ"/>
        </w:rPr>
      </w:pPr>
      <w:r w:rsidRPr="00963997">
        <w:rPr>
          <w:rFonts w:ascii="Arial" w:eastAsiaTheme="minorHAnsi" w:hAnsi="Arial" w:cs="Arial"/>
          <w:sz w:val="24"/>
          <w:lang w:val="en-NZ"/>
        </w:rPr>
        <w:t xml:space="preserve">New Zealanders’ </w:t>
      </w:r>
      <w:r w:rsidR="00EF4317" w:rsidRPr="00963997">
        <w:rPr>
          <w:rFonts w:ascii="Arial" w:eastAsiaTheme="minorHAnsi" w:hAnsi="Arial" w:cs="Arial"/>
          <w:sz w:val="24"/>
          <w:lang w:val="en-NZ"/>
        </w:rPr>
        <w:t>employment opportunities</w:t>
      </w:r>
      <w:r w:rsidRPr="00963997">
        <w:rPr>
          <w:rFonts w:ascii="Arial" w:eastAsiaTheme="minorHAnsi" w:hAnsi="Arial" w:cs="Arial"/>
          <w:sz w:val="24"/>
          <w:lang w:val="en-NZ"/>
        </w:rPr>
        <w:t xml:space="preserve"> depend on the labour market functioning well. </w:t>
      </w:r>
    </w:p>
    <w:p w14:paraId="6CC06910" w14:textId="4090B3B5" w:rsidR="00EF4317" w:rsidRPr="00963997" w:rsidRDefault="00FA37AB" w:rsidP="005D59CC">
      <w:pPr>
        <w:spacing w:before="120" w:after="120" w:line="240" w:lineRule="atLeast"/>
        <w:rPr>
          <w:rFonts w:ascii="Arial" w:eastAsiaTheme="minorHAnsi" w:hAnsi="Arial" w:cs="Arial"/>
          <w:sz w:val="24"/>
          <w:lang w:val="en-NZ"/>
        </w:rPr>
      </w:pPr>
      <w:r w:rsidRPr="00963997">
        <w:rPr>
          <w:rFonts w:ascii="Arial" w:eastAsiaTheme="minorHAnsi" w:hAnsi="Arial" w:cs="Arial"/>
          <w:sz w:val="24"/>
          <w:lang w:val="en-NZ"/>
        </w:rPr>
        <w:t>New Zealand’s past labour market performance is mixed</w:t>
      </w:r>
      <w:r w:rsidR="00343136" w:rsidRPr="00963997">
        <w:rPr>
          <w:rFonts w:ascii="Arial" w:eastAsiaTheme="minorHAnsi" w:hAnsi="Arial" w:cs="Arial"/>
          <w:sz w:val="24"/>
          <w:lang w:val="en-NZ"/>
        </w:rPr>
        <w:t xml:space="preserve">. It </w:t>
      </w:r>
      <w:r w:rsidRPr="00963997">
        <w:rPr>
          <w:rFonts w:ascii="Arial" w:eastAsiaTheme="minorHAnsi" w:hAnsi="Arial" w:cs="Arial"/>
          <w:sz w:val="24"/>
          <w:lang w:val="en-NZ"/>
        </w:rPr>
        <w:t>creat</w:t>
      </w:r>
      <w:r w:rsidR="00343136" w:rsidRPr="00963997">
        <w:rPr>
          <w:rFonts w:ascii="Arial" w:eastAsiaTheme="minorHAnsi" w:hAnsi="Arial" w:cs="Arial"/>
          <w:sz w:val="24"/>
          <w:lang w:val="en-NZ"/>
        </w:rPr>
        <w:t xml:space="preserve">es </w:t>
      </w:r>
      <w:r w:rsidRPr="00963997">
        <w:rPr>
          <w:rFonts w:ascii="Arial" w:eastAsiaTheme="minorHAnsi" w:hAnsi="Arial" w:cs="Arial"/>
          <w:sz w:val="24"/>
          <w:lang w:val="en-NZ"/>
        </w:rPr>
        <w:t>a high number of jobs,</w:t>
      </w:r>
      <w:r w:rsidR="00343136" w:rsidRPr="00963997">
        <w:rPr>
          <w:rFonts w:ascii="Arial" w:eastAsiaTheme="minorHAnsi" w:hAnsi="Arial" w:cs="Arial"/>
          <w:sz w:val="24"/>
          <w:lang w:val="en-NZ"/>
        </w:rPr>
        <w:t xml:space="preserve"> has</w:t>
      </w:r>
      <w:r w:rsidRPr="00963997">
        <w:rPr>
          <w:rFonts w:ascii="Arial" w:eastAsiaTheme="minorHAnsi" w:hAnsi="Arial" w:cs="Arial"/>
          <w:sz w:val="24"/>
          <w:lang w:val="en-NZ"/>
        </w:rPr>
        <w:t xml:space="preserve"> high participation </w:t>
      </w:r>
      <w:proofErr w:type="gramStart"/>
      <w:r w:rsidRPr="00963997">
        <w:rPr>
          <w:rFonts w:ascii="Arial" w:eastAsiaTheme="minorHAnsi" w:hAnsi="Arial" w:cs="Arial"/>
          <w:sz w:val="24"/>
          <w:lang w:val="en-NZ"/>
        </w:rPr>
        <w:t>rates</w:t>
      </w:r>
      <w:proofErr w:type="gramEnd"/>
      <w:r w:rsidRPr="00963997">
        <w:rPr>
          <w:rFonts w:ascii="Arial" w:eastAsiaTheme="minorHAnsi" w:hAnsi="Arial" w:cs="Arial"/>
          <w:sz w:val="24"/>
          <w:lang w:val="en-NZ"/>
        </w:rPr>
        <w:t xml:space="preserve"> and </w:t>
      </w:r>
      <w:r w:rsidR="00343136" w:rsidRPr="00963997">
        <w:rPr>
          <w:rFonts w:ascii="Arial" w:eastAsiaTheme="minorHAnsi" w:hAnsi="Arial" w:cs="Arial"/>
          <w:sz w:val="24"/>
          <w:lang w:val="en-NZ"/>
        </w:rPr>
        <w:t xml:space="preserve">delivers </w:t>
      </w:r>
      <w:r w:rsidRPr="00963997">
        <w:rPr>
          <w:rFonts w:ascii="Arial" w:eastAsiaTheme="minorHAnsi" w:hAnsi="Arial" w:cs="Arial"/>
          <w:sz w:val="24"/>
          <w:lang w:val="en-NZ"/>
        </w:rPr>
        <w:t xml:space="preserve">some elements of job quality, such as flexibility and autonomy. </w:t>
      </w:r>
    </w:p>
    <w:p w14:paraId="58DAB582" w14:textId="76B8E89F" w:rsidR="00FA37AB" w:rsidRPr="00963997" w:rsidRDefault="00343136" w:rsidP="005D59CC">
      <w:pPr>
        <w:spacing w:before="120" w:after="120" w:line="240" w:lineRule="atLeast"/>
        <w:rPr>
          <w:rFonts w:ascii="Arial" w:hAnsi="Arial" w:cs="Arial"/>
          <w:sz w:val="24"/>
        </w:rPr>
      </w:pPr>
      <w:r w:rsidRPr="00963997">
        <w:rPr>
          <w:rFonts w:ascii="Arial" w:eastAsiaTheme="minorHAnsi" w:hAnsi="Arial" w:cs="Arial"/>
          <w:sz w:val="24"/>
          <w:lang w:val="en-NZ"/>
        </w:rPr>
        <w:t>However, l</w:t>
      </w:r>
      <w:r w:rsidR="00FA37AB" w:rsidRPr="00963997">
        <w:rPr>
          <w:rFonts w:ascii="Arial" w:eastAsiaTheme="minorHAnsi" w:hAnsi="Arial" w:cs="Arial"/>
          <w:sz w:val="24"/>
          <w:lang w:val="en-NZ"/>
        </w:rPr>
        <w:t xml:space="preserve">ong-term problems </w:t>
      </w:r>
      <w:r w:rsidR="00C3088C" w:rsidRPr="00963997">
        <w:rPr>
          <w:rFonts w:ascii="Arial" w:eastAsiaTheme="minorHAnsi" w:hAnsi="Arial" w:cs="Arial"/>
          <w:sz w:val="24"/>
          <w:lang w:val="en-NZ"/>
        </w:rPr>
        <w:t xml:space="preserve">include </w:t>
      </w:r>
      <w:r w:rsidR="00FA37AB" w:rsidRPr="00963997">
        <w:rPr>
          <w:rFonts w:ascii="Arial" w:eastAsiaTheme="minorHAnsi" w:hAnsi="Arial" w:cs="Arial"/>
          <w:sz w:val="24"/>
          <w:lang w:val="en-NZ"/>
        </w:rPr>
        <w:t xml:space="preserve">low productivity and wages, prevalence of low-quality jobs and persistently poor outcomes for </w:t>
      </w:r>
      <w:r w:rsidRPr="00963997">
        <w:rPr>
          <w:rFonts w:ascii="Arial" w:eastAsiaTheme="minorHAnsi" w:hAnsi="Arial" w:cs="Arial"/>
          <w:sz w:val="24"/>
          <w:lang w:val="en-NZ"/>
        </w:rPr>
        <w:t>some</w:t>
      </w:r>
      <w:r w:rsidR="00FA37AB" w:rsidRPr="00963997">
        <w:rPr>
          <w:rFonts w:ascii="Arial" w:eastAsiaTheme="minorHAnsi" w:hAnsi="Arial" w:cs="Arial"/>
          <w:sz w:val="24"/>
          <w:lang w:val="en-NZ"/>
        </w:rPr>
        <w:t xml:space="preserve"> populations and regions.</w:t>
      </w:r>
    </w:p>
    <w:p w14:paraId="597220DB" w14:textId="3ABAA5A5" w:rsidR="00FA37AB" w:rsidRPr="00963997" w:rsidRDefault="004727EA" w:rsidP="005D59CC">
      <w:pPr>
        <w:spacing w:before="120" w:after="120" w:line="240" w:lineRule="atLeast"/>
        <w:rPr>
          <w:rFonts w:ascii="Arial" w:eastAsiaTheme="minorHAnsi" w:hAnsi="Arial" w:cs="Arial"/>
          <w:sz w:val="24"/>
          <w:lang w:val="en-NZ"/>
        </w:rPr>
      </w:pPr>
      <w:r w:rsidRPr="00963997">
        <w:rPr>
          <w:rFonts w:ascii="Arial" w:eastAsiaTheme="minorHAnsi" w:hAnsi="Arial" w:cs="Arial"/>
          <w:sz w:val="24"/>
          <w:lang w:val="en-NZ"/>
        </w:rPr>
        <w:t xml:space="preserve">Māori, Pacific people, </w:t>
      </w:r>
      <w:proofErr w:type="gramStart"/>
      <w:r w:rsidRPr="00963997">
        <w:rPr>
          <w:rFonts w:ascii="Arial" w:eastAsiaTheme="minorHAnsi" w:hAnsi="Arial" w:cs="Arial"/>
          <w:sz w:val="24"/>
          <w:lang w:val="en-NZ"/>
        </w:rPr>
        <w:t>women</w:t>
      </w:r>
      <w:proofErr w:type="gramEnd"/>
      <w:r w:rsidRPr="00963997">
        <w:rPr>
          <w:rFonts w:ascii="Arial" w:eastAsiaTheme="minorHAnsi" w:hAnsi="Arial" w:cs="Arial"/>
          <w:sz w:val="24"/>
          <w:lang w:val="en-NZ"/>
        </w:rPr>
        <w:t xml:space="preserve"> and disabled people experience poorer </w:t>
      </w:r>
      <w:r w:rsidR="00FA37AB" w:rsidRPr="00963997">
        <w:rPr>
          <w:rFonts w:ascii="Arial" w:eastAsiaTheme="minorHAnsi" w:hAnsi="Arial" w:cs="Arial"/>
          <w:sz w:val="24"/>
          <w:lang w:val="en-NZ"/>
        </w:rPr>
        <w:t xml:space="preserve">employment outcomes </w:t>
      </w:r>
      <w:r w:rsidRPr="00963997">
        <w:rPr>
          <w:rFonts w:ascii="Arial" w:eastAsiaTheme="minorHAnsi" w:hAnsi="Arial" w:cs="Arial"/>
          <w:sz w:val="24"/>
          <w:lang w:val="en-NZ"/>
        </w:rPr>
        <w:t xml:space="preserve">than </w:t>
      </w:r>
      <w:r w:rsidR="00FA37AB" w:rsidRPr="00963997">
        <w:rPr>
          <w:rFonts w:ascii="Arial" w:eastAsiaTheme="minorHAnsi" w:hAnsi="Arial" w:cs="Arial"/>
          <w:sz w:val="24"/>
          <w:lang w:val="en-NZ"/>
        </w:rPr>
        <w:t>the total population</w:t>
      </w:r>
      <w:r w:rsidRPr="00963997">
        <w:rPr>
          <w:rFonts w:ascii="Arial" w:eastAsiaTheme="minorHAnsi" w:hAnsi="Arial" w:cs="Arial"/>
          <w:sz w:val="24"/>
          <w:lang w:val="en-NZ"/>
        </w:rPr>
        <w:t>.</w:t>
      </w:r>
      <w:r w:rsidR="00FA37AB" w:rsidRPr="00963997">
        <w:rPr>
          <w:rFonts w:ascii="Arial" w:eastAsiaTheme="minorHAnsi" w:hAnsi="Arial" w:cs="Arial"/>
          <w:sz w:val="24"/>
          <w:lang w:val="en-NZ"/>
        </w:rPr>
        <w:t xml:space="preserve"> </w:t>
      </w:r>
      <w:r w:rsidRPr="00963997">
        <w:rPr>
          <w:rFonts w:ascii="Arial" w:eastAsiaTheme="minorHAnsi" w:hAnsi="Arial" w:cs="Arial"/>
          <w:sz w:val="24"/>
          <w:lang w:val="en-NZ"/>
        </w:rPr>
        <w:t>O</w:t>
      </w:r>
      <w:r w:rsidR="00FA37AB" w:rsidRPr="00963997">
        <w:rPr>
          <w:rFonts w:ascii="Arial" w:eastAsiaTheme="minorHAnsi" w:hAnsi="Arial" w:cs="Arial"/>
          <w:sz w:val="24"/>
          <w:lang w:val="en-NZ"/>
        </w:rPr>
        <w:t xml:space="preserve">utcomes are particularly poor for </w:t>
      </w:r>
      <w:r w:rsidR="0030774C">
        <w:rPr>
          <w:rFonts w:ascii="Arial" w:eastAsiaTheme="minorHAnsi" w:hAnsi="Arial" w:cs="Arial"/>
          <w:sz w:val="24"/>
          <w:lang w:val="en-NZ"/>
        </w:rPr>
        <w:t>disabled young people, yo</w:t>
      </w:r>
      <w:r w:rsidR="00FA37AB" w:rsidRPr="00963997">
        <w:rPr>
          <w:rFonts w:ascii="Arial" w:eastAsiaTheme="minorHAnsi" w:hAnsi="Arial" w:cs="Arial"/>
          <w:sz w:val="24"/>
          <w:lang w:val="en-NZ"/>
        </w:rPr>
        <w:t xml:space="preserve">uth with chronic health conditions and young parents (of whom Māori and Pacific people are </w:t>
      </w:r>
      <w:r w:rsidRPr="00963997">
        <w:rPr>
          <w:rFonts w:ascii="Arial" w:eastAsiaTheme="minorHAnsi" w:hAnsi="Arial" w:cs="Arial"/>
          <w:sz w:val="24"/>
          <w:lang w:val="en-NZ"/>
        </w:rPr>
        <w:t>over-r</w:t>
      </w:r>
      <w:r w:rsidR="00FA37AB" w:rsidRPr="00963997">
        <w:rPr>
          <w:rFonts w:ascii="Arial" w:eastAsiaTheme="minorHAnsi" w:hAnsi="Arial" w:cs="Arial"/>
          <w:sz w:val="24"/>
          <w:lang w:val="en-NZ"/>
        </w:rPr>
        <w:t>epresented).</w:t>
      </w:r>
    </w:p>
    <w:p w14:paraId="7F0EBE7D" w14:textId="77777777" w:rsidR="004727EA" w:rsidRPr="00963997" w:rsidRDefault="00FA37AB" w:rsidP="005D59CC">
      <w:pPr>
        <w:spacing w:before="120" w:after="120" w:line="240" w:lineRule="atLeast"/>
        <w:rPr>
          <w:rFonts w:ascii="Arial" w:eastAsiaTheme="minorHAnsi" w:hAnsi="Arial" w:cs="Arial"/>
          <w:sz w:val="24"/>
          <w:lang w:val="en-NZ"/>
        </w:rPr>
      </w:pPr>
      <w:r w:rsidRPr="00963997">
        <w:rPr>
          <w:rFonts w:ascii="Arial" w:eastAsiaTheme="minorHAnsi" w:hAnsi="Arial" w:cs="Arial"/>
          <w:sz w:val="24"/>
          <w:lang w:val="en-NZ"/>
        </w:rPr>
        <w:t xml:space="preserve">Young people have seen employment loss from the economic effects of COVID-19, however participation in education has increased. </w:t>
      </w:r>
    </w:p>
    <w:p w14:paraId="03B8D98D" w14:textId="55C637C9" w:rsidR="00674157" w:rsidRPr="00963997" w:rsidRDefault="00FA37AB" w:rsidP="005D59CC">
      <w:pPr>
        <w:spacing w:before="120" w:after="120" w:line="240" w:lineRule="atLeast"/>
        <w:rPr>
          <w:rFonts w:ascii="Arial" w:eastAsiaTheme="minorHAnsi" w:hAnsi="Arial" w:cs="Arial"/>
          <w:sz w:val="24"/>
          <w:lang w:val="en-NZ"/>
        </w:rPr>
      </w:pPr>
      <w:r w:rsidRPr="00963997">
        <w:rPr>
          <w:rFonts w:ascii="Arial" w:eastAsiaTheme="minorHAnsi" w:hAnsi="Arial" w:cs="Arial"/>
          <w:sz w:val="24"/>
          <w:lang w:val="en-NZ"/>
        </w:rPr>
        <w:t>The national seasonally adjusted NEET rate has increased to 13.1</w:t>
      </w:r>
      <w:r w:rsidR="00FB0B1E">
        <w:rPr>
          <w:rFonts w:ascii="Arial" w:eastAsiaTheme="minorHAnsi" w:hAnsi="Arial" w:cs="Arial"/>
          <w:sz w:val="24"/>
          <w:lang w:val="en-NZ"/>
        </w:rPr>
        <w:t xml:space="preserve">% </w:t>
      </w:r>
      <w:r w:rsidRPr="00963997">
        <w:rPr>
          <w:rFonts w:ascii="Arial" w:eastAsiaTheme="minorHAnsi" w:hAnsi="Arial" w:cs="Arial"/>
          <w:sz w:val="24"/>
          <w:lang w:val="en-NZ"/>
        </w:rPr>
        <w:t xml:space="preserve">nationally, however there is significant volatility in this measure – the NEET rate in March 2019 was also at this level. </w:t>
      </w:r>
    </w:p>
    <w:p w14:paraId="24651CD0" w14:textId="15C9B045" w:rsidR="00674157" w:rsidRPr="00963997" w:rsidRDefault="00674157" w:rsidP="005D59CC">
      <w:pPr>
        <w:pStyle w:val="Heading2"/>
        <w:spacing w:before="120" w:after="120" w:line="240" w:lineRule="atLeast"/>
        <w:rPr>
          <w:rFonts w:ascii="Arial" w:hAnsi="Arial" w:cs="Arial"/>
        </w:rPr>
      </w:pPr>
      <w:r w:rsidRPr="00963997">
        <w:rPr>
          <w:rFonts w:ascii="Arial" w:hAnsi="Arial" w:cs="Arial"/>
        </w:rPr>
        <w:t>Labour market changes</w:t>
      </w:r>
    </w:p>
    <w:p w14:paraId="318B0CED" w14:textId="25718BC0" w:rsidR="00674157" w:rsidRPr="00963997" w:rsidRDefault="00674157" w:rsidP="005D59CC">
      <w:pPr>
        <w:spacing w:before="120" w:after="120" w:line="240" w:lineRule="atLeast"/>
        <w:rPr>
          <w:rFonts w:ascii="Arial" w:hAnsi="Arial" w:cs="Arial"/>
          <w:sz w:val="24"/>
        </w:rPr>
      </w:pPr>
      <w:r w:rsidRPr="00963997">
        <w:rPr>
          <w:rFonts w:ascii="Arial" w:hAnsi="Arial" w:cs="Arial"/>
          <w:sz w:val="24"/>
        </w:rPr>
        <w:t xml:space="preserve">The labour market is expected to change due to long-term trends in the future of work, such as new technology and climate change. Job types, industries and the skills needed to be part of the work force will change. </w:t>
      </w:r>
    </w:p>
    <w:p w14:paraId="3CC6E9B4" w14:textId="1219A925" w:rsidR="00FD69B2" w:rsidRDefault="00FD69B2" w:rsidP="00FD69B2">
      <w:pPr>
        <w:spacing w:before="120" w:after="120" w:line="240" w:lineRule="atLeast"/>
        <w:rPr>
          <w:rFonts w:ascii="Arial" w:hAnsi="Arial" w:cs="Arial"/>
          <w:sz w:val="24"/>
        </w:rPr>
      </w:pPr>
      <w:r>
        <w:rPr>
          <w:rFonts w:ascii="Arial" w:eastAsiaTheme="minorHAnsi" w:hAnsi="Arial" w:cs="Arial"/>
          <w:b/>
          <w:bCs/>
          <w:sz w:val="24"/>
          <w:lang w:val="en-NZ"/>
        </w:rPr>
        <w:lastRenderedPageBreak/>
        <w:t xml:space="preserve">Demographic change: </w:t>
      </w:r>
      <w:r>
        <w:rPr>
          <w:rFonts w:ascii="Arial" w:eastAsiaTheme="minorHAnsi" w:hAnsi="Arial" w:cs="Arial"/>
          <w:bCs/>
          <w:sz w:val="24"/>
          <w:lang w:val="en-NZ"/>
        </w:rPr>
        <w:t>Like many OECD countries, New Zealand’s population is ageing, which may lead to shortages of qualified and skilled labour as retirement of older workers increases relative to the number of young people entering the labour market.</w:t>
      </w:r>
      <w:r>
        <w:rPr>
          <w:rFonts w:ascii="Arial" w:eastAsiaTheme="minorHAnsi" w:hAnsi="Arial" w:cs="Arial"/>
          <w:b/>
          <w:bCs/>
          <w:sz w:val="24"/>
          <w:lang w:val="en-NZ"/>
        </w:rPr>
        <w:t xml:space="preserve"> </w:t>
      </w:r>
      <w:r>
        <w:rPr>
          <w:rFonts w:ascii="Arial" w:hAnsi="Arial" w:cs="Arial"/>
          <w:sz w:val="24"/>
        </w:rPr>
        <w:t>While New Zealand’s overall population is ag</w:t>
      </w:r>
      <w:r w:rsidR="0030774C">
        <w:rPr>
          <w:rFonts w:ascii="Arial" w:hAnsi="Arial" w:cs="Arial"/>
          <w:sz w:val="24"/>
        </w:rPr>
        <w:t>e</w:t>
      </w:r>
      <w:r>
        <w:rPr>
          <w:rFonts w:ascii="Arial" w:hAnsi="Arial" w:cs="Arial"/>
          <w:sz w:val="24"/>
        </w:rPr>
        <w:t>ing,</w:t>
      </w:r>
      <w:r>
        <w:rPr>
          <w:rFonts w:ascii="Arial" w:eastAsiaTheme="minorHAnsi" w:hAnsi="Arial" w:cs="Arial"/>
          <w:sz w:val="24"/>
          <w:lang w:val="en-NZ"/>
        </w:rPr>
        <w:t xml:space="preserve"> the youth populations for Māori and Pacific peoples are expected to increase. There will be more </w:t>
      </w:r>
      <w:r>
        <w:rPr>
          <w:rFonts w:ascii="Arial" w:hAnsi="Arial" w:cs="Arial"/>
          <w:sz w:val="24"/>
        </w:rPr>
        <w:t xml:space="preserve">Māori and Pacific young people and they will make up a greater </w:t>
      </w:r>
      <w:r>
        <w:rPr>
          <w:rFonts w:ascii="Arial" w:eastAsiaTheme="minorHAnsi" w:hAnsi="Arial" w:cs="Arial"/>
          <w:sz w:val="24"/>
          <w:lang w:val="en-NZ"/>
        </w:rPr>
        <w:t xml:space="preserve">proportion of the total number of </w:t>
      </w:r>
      <w:proofErr w:type="gramStart"/>
      <w:r>
        <w:rPr>
          <w:rFonts w:ascii="Arial" w:eastAsiaTheme="minorHAnsi" w:hAnsi="Arial" w:cs="Arial"/>
          <w:sz w:val="24"/>
          <w:lang w:val="en-NZ"/>
        </w:rPr>
        <w:t>15-24</w:t>
      </w:r>
      <w:r w:rsidR="00525D9D">
        <w:rPr>
          <w:rFonts w:ascii="Arial" w:eastAsiaTheme="minorHAnsi" w:hAnsi="Arial" w:cs="Arial"/>
          <w:sz w:val="24"/>
          <w:lang w:val="en-NZ"/>
        </w:rPr>
        <w:t xml:space="preserve"> </w:t>
      </w:r>
      <w:r>
        <w:rPr>
          <w:rFonts w:ascii="Arial" w:eastAsiaTheme="minorHAnsi" w:hAnsi="Arial" w:cs="Arial"/>
          <w:sz w:val="24"/>
          <w:lang w:val="en-NZ"/>
        </w:rPr>
        <w:t>year</w:t>
      </w:r>
      <w:r w:rsidR="00525D9D">
        <w:rPr>
          <w:rFonts w:ascii="Arial" w:eastAsiaTheme="minorHAnsi" w:hAnsi="Arial" w:cs="Arial"/>
          <w:sz w:val="24"/>
          <w:lang w:val="en-NZ"/>
        </w:rPr>
        <w:t>-</w:t>
      </w:r>
      <w:r>
        <w:rPr>
          <w:rFonts w:ascii="Arial" w:eastAsiaTheme="minorHAnsi" w:hAnsi="Arial" w:cs="Arial"/>
          <w:sz w:val="24"/>
          <w:lang w:val="en-NZ"/>
        </w:rPr>
        <w:t>olds</w:t>
      </w:r>
      <w:proofErr w:type="gramEnd"/>
      <w:r>
        <w:rPr>
          <w:rFonts w:ascii="Arial" w:eastAsiaTheme="minorHAnsi" w:hAnsi="Arial" w:cs="Arial"/>
          <w:sz w:val="24"/>
          <w:lang w:val="en-NZ"/>
        </w:rPr>
        <w:t xml:space="preserve">. </w:t>
      </w:r>
      <w:r>
        <w:rPr>
          <w:rFonts w:ascii="Arial" w:hAnsi="Arial" w:cs="Arial"/>
          <w:sz w:val="24"/>
        </w:rPr>
        <w:t>We also expect continued growth of young people in urban areas, particularly in the upper North Island. This may have implications for services targeted at young people.</w:t>
      </w:r>
    </w:p>
    <w:p w14:paraId="1DFCFD7B" w14:textId="77C56031" w:rsidR="00FA37AB" w:rsidRPr="00963997" w:rsidRDefault="00FD6522" w:rsidP="005D59CC">
      <w:pPr>
        <w:spacing w:before="120" w:after="120" w:line="240" w:lineRule="atLeast"/>
        <w:rPr>
          <w:rFonts w:ascii="Arial" w:hAnsi="Arial" w:cs="Arial"/>
          <w:sz w:val="24"/>
        </w:rPr>
      </w:pPr>
      <w:r w:rsidRPr="00963997">
        <w:rPr>
          <w:rFonts w:ascii="Arial" w:eastAsiaTheme="minorHAnsi" w:hAnsi="Arial" w:cs="Arial"/>
          <w:b/>
          <w:bCs/>
          <w:sz w:val="24"/>
          <w:lang w:val="en-NZ"/>
        </w:rPr>
        <w:t>Technology</w:t>
      </w:r>
      <w:r w:rsidRPr="00963997">
        <w:rPr>
          <w:rFonts w:ascii="Arial" w:eastAsiaTheme="minorHAnsi" w:hAnsi="Arial" w:cs="Arial"/>
          <w:sz w:val="24"/>
          <w:lang w:val="en-NZ"/>
        </w:rPr>
        <w:t xml:space="preserve">: </w:t>
      </w:r>
      <w:r w:rsidR="00FA37AB" w:rsidRPr="00963997">
        <w:rPr>
          <w:rFonts w:ascii="Arial" w:eastAsiaTheme="minorHAnsi" w:hAnsi="Arial" w:cs="Arial"/>
          <w:sz w:val="24"/>
          <w:lang w:val="en-NZ"/>
        </w:rPr>
        <w:t>Technological change, including the possibility of automation and displacement of workers, is likely to disproportionately impact young people who are entering the labour market without digital literacy skills or access to technology.</w:t>
      </w:r>
    </w:p>
    <w:p w14:paraId="0D950F22" w14:textId="09625726" w:rsidR="00FA37AB" w:rsidRPr="00963997" w:rsidRDefault="00FD6522" w:rsidP="005D59CC">
      <w:pPr>
        <w:spacing w:before="120" w:after="120" w:line="240" w:lineRule="atLeast"/>
        <w:rPr>
          <w:rFonts w:ascii="Arial" w:hAnsi="Arial" w:cs="Arial"/>
          <w:sz w:val="24"/>
        </w:rPr>
      </w:pPr>
      <w:r w:rsidRPr="00963997">
        <w:rPr>
          <w:rFonts w:ascii="Arial" w:eastAsiaTheme="minorHAnsi" w:hAnsi="Arial" w:cs="Arial"/>
          <w:b/>
          <w:bCs/>
          <w:sz w:val="24"/>
          <w:lang w:val="en-NZ"/>
        </w:rPr>
        <w:t>Globalisation:</w:t>
      </w:r>
      <w:r w:rsidRPr="00963997">
        <w:rPr>
          <w:rFonts w:ascii="Arial" w:eastAsiaTheme="minorHAnsi" w:hAnsi="Arial" w:cs="Arial"/>
          <w:sz w:val="24"/>
          <w:lang w:val="en-NZ"/>
        </w:rPr>
        <w:t xml:space="preserve"> </w:t>
      </w:r>
      <w:r w:rsidR="00FA37AB" w:rsidRPr="00963997">
        <w:rPr>
          <w:rFonts w:ascii="Arial" w:eastAsiaTheme="minorHAnsi" w:hAnsi="Arial" w:cs="Arial"/>
          <w:sz w:val="24"/>
          <w:lang w:val="en-NZ"/>
        </w:rPr>
        <w:t>Globalisation has emerged as a major trend with the potential for long-term impacts on the economy and the local labour market.  While global trade creates more jobs than it destroys, the costs and benefits of globalisation are not evenly distributed.</w:t>
      </w:r>
    </w:p>
    <w:p w14:paraId="2A724EB7" w14:textId="61333479" w:rsidR="00FA37AB" w:rsidRPr="00963997" w:rsidRDefault="00FD6522" w:rsidP="005D59CC">
      <w:pPr>
        <w:spacing w:before="120" w:after="120" w:line="240" w:lineRule="atLeast"/>
        <w:rPr>
          <w:rFonts w:ascii="Arial" w:hAnsi="Arial" w:cs="Arial"/>
          <w:sz w:val="24"/>
        </w:rPr>
      </w:pPr>
      <w:r w:rsidRPr="00963997">
        <w:rPr>
          <w:rFonts w:ascii="Arial" w:eastAsiaTheme="minorHAnsi" w:hAnsi="Arial" w:cs="Arial"/>
          <w:b/>
          <w:bCs/>
          <w:sz w:val="24"/>
          <w:lang w:val="en-NZ"/>
        </w:rPr>
        <w:t>Climate change:</w:t>
      </w:r>
      <w:r w:rsidRPr="00963997">
        <w:rPr>
          <w:rFonts w:ascii="Arial" w:eastAsiaTheme="minorHAnsi" w:hAnsi="Arial" w:cs="Arial"/>
          <w:sz w:val="24"/>
          <w:lang w:val="en-NZ"/>
        </w:rPr>
        <w:t xml:space="preserve"> </w:t>
      </w:r>
      <w:r w:rsidR="00105CF4" w:rsidRPr="00963997">
        <w:rPr>
          <w:rFonts w:ascii="Arial" w:eastAsiaTheme="minorHAnsi" w:hAnsi="Arial" w:cs="Arial"/>
          <w:sz w:val="24"/>
          <w:lang w:val="en-NZ"/>
        </w:rPr>
        <w:t>C</w:t>
      </w:r>
      <w:r w:rsidR="00FA37AB" w:rsidRPr="00963997">
        <w:rPr>
          <w:rFonts w:ascii="Arial" w:eastAsiaTheme="minorHAnsi" w:hAnsi="Arial" w:cs="Arial"/>
          <w:sz w:val="24"/>
          <w:lang w:val="en-NZ"/>
        </w:rPr>
        <w:t xml:space="preserve">limate change and the Government’s target to reduce carbon emissions to zero by 2050 will cause some sectors to decline in importance and others to grow. The workforce profile of these sectors includes younger workers, lower-paid </w:t>
      </w:r>
      <w:proofErr w:type="gramStart"/>
      <w:r w:rsidR="00FA37AB" w:rsidRPr="00963997">
        <w:rPr>
          <w:rFonts w:ascii="Arial" w:eastAsiaTheme="minorHAnsi" w:hAnsi="Arial" w:cs="Arial"/>
          <w:sz w:val="24"/>
          <w:lang w:val="en-NZ"/>
        </w:rPr>
        <w:t>workers</w:t>
      </w:r>
      <w:proofErr w:type="gramEnd"/>
      <w:r w:rsidR="00FA37AB" w:rsidRPr="00963997">
        <w:rPr>
          <w:rFonts w:ascii="Arial" w:eastAsiaTheme="minorHAnsi" w:hAnsi="Arial" w:cs="Arial"/>
          <w:sz w:val="24"/>
          <w:lang w:val="en-NZ"/>
        </w:rPr>
        <w:t xml:space="preserve"> and those with fewer qualifications.</w:t>
      </w:r>
    </w:p>
    <w:p w14:paraId="5CB83ACF" w14:textId="4FC1FE31" w:rsidR="004A3CF4" w:rsidRPr="00963997" w:rsidRDefault="008D0FB5" w:rsidP="005D59CC">
      <w:pPr>
        <w:pStyle w:val="Title"/>
        <w:spacing w:before="120" w:after="120" w:line="240" w:lineRule="atLeast"/>
        <w:contextualSpacing w:val="0"/>
      </w:pPr>
      <w:r>
        <w:t>Effective programmes and approaches</w:t>
      </w:r>
    </w:p>
    <w:p w14:paraId="189A3A0A" w14:textId="05AE15D9" w:rsidR="009F76EE" w:rsidRPr="00963997" w:rsidRDefault="009F76EE" w:rsidP="005D59CC">
      <w:pPr>
        <w:pStyle w:val="Heading1"/>
        <w:spacing w:before="120" w:after="120" w:line="240" w:lineRule="atLeast"/>
        <w:rPr>
          <w:b/>
          <w:bCs/>
        </w:rPr>
      </w:pPr>
      <w:bookmarkStart w:id="5" w:name="_Hlk74927567"/>
      <w:r w:rsidRPr="00963997">
        <w:rPr>
          <w:b/>
          <w:bCs/>
        </w:rPr>
        <w:t xml:space="preserve">Key question to consider: </w:t>
      </w:r>
      <w:r w:rsidR="0005401A" w:rsidRPr="00963997">
        <w:rPr>
          <w:b/>
          <w:bCs/>
        </w:rPr>
        <w:t>W</w:t>
      </w:r>
      <w:r w:rsidR="00C42917">
        <w:rPr>
          <w:b/>
          <w:bCs/>
        </w:rPr>
        <w:t xml:space="preserve">hat kind of </w:t>
      </w:r>
      <w:r w:rsidR="0005401A" w:rsidRPr="00963997">
        <w:rPr>
          <w:b/>
          <w:bCs/>
        </w:rPr>
        <w:t xml:space="preserve">initiatives, programmes or approaches do you think </w:t>
      </w:r>
      <w:r w:rsidR="00C42917">
        <w:rPr>
          <w:b/>
          <w:bCs/>
        </w:rPr>
        <w:t>are most successful</w:t>
      </w:r>
      <w:r w:rsidR="0005401A" w:rsidRPr="00963997">
        <w:rPr>
          <w:b/>
          <w:bCs/>
        </w:rPr>
        <w:t>?</w:t>
      </w:r>
    </w:p>
    <w:p w14:paraId="22B50D97" w14:textId="12D51855" w:rsidR="004A3CF4" w:rsidRPr="00963997" w:rsidRDefault="004A3CF4" w:rsidP="005D59CC">
      <w:pPr>
        <w:pStyle w:val="ListParagraph"/>
        <w:spacing w:before="120" w:after="120" w:line="240" w:lineRule="atLeast"/>
        <w:ind w:left="0"/>
        <w:contextualSpacing w:val="0"/>
        <w:rPr>
          <w:rFonts w:ascii="Arial" w:hAnsi="Arial" w:cs="Arial"/>
          <w:sz w:val="24"/>
          <w:szCs w:val="24"/>
        </w:rPr>
      </w:pPr>
      <w:bookmarkStart w:id="6" w:name="_Hlk75877759"/>
      <w:bookmarkEnd w:id="5"/>
      <w:r w:rsidRPr="00963997">
        <w:rPr>
          <w:rFonts w:ascii="Arial" w:hAnsi="Arial" w:cs="Arial"/>
          <w:sz w:val="24"/>
          <w:szCs w:val="24"/>
        </w:rPr>
        <w:t>Risk factors for youth at risk of limited employment sit across multiple domains - labour market, social welfare, education, health (particularly mental health)</w:t>
      </w:r>
      <w:r w:rsidR="006721A5">
        <w:rPr>
          <w:rFonts w:ascii="Arial" w:hAnsi="Arial" w:cs="Arial"/>
          <w:sz w:val="24"/>
          <w:szCs w:val="24"/>
        </w:rPr>
        <w:t>, housing</w:t>
      </w:r>
      <w:r w:rsidRPr="00963997">
        <w:rPr>
          <w:rFonts w:ascii="Arial" w:hAnsi="Arial" w:cs="Arial"/>
          <w:sz w:val="24"/>
          <w:szCs w:val="24"/>
        </w:rPr>
        <w:t xml:space="preserve"> and corrections. </w:t>
      </w:r>
      <w:bookmarkEnd w:id="6"/>
      <w:r w:rsidRPr="00963997">
        <w:rPr>
          <w:rFonts w:ascii="Arial" w:hAnsi="Arial" w:cs="Arial"/>
          <w:sz w:val="24"/>
          <w:szCs w:val="24"/>
        </w:rPr>
        <w:t>Interventions that ignore the broader factors influencing someone’s likelihood of success in employment can be limited in their effectiveness.</w:t>
      </w:r>
    </w:p>
    <w:p w14:paraId="16D70D09" w14:textId="77777777" w:rsidR="004A3CF4" w:rsidRPr="00963997" w:rsidRDefault="004A3CF4" w:rsidP="005D59CC">
      <w:pPr>
        <w:pStyle w:val="ListParagraph"/>
        <w:spacing w:before="120" w:after="120" w:line="240" w:lineRule="atLeast"/>
        <w:ind w:left="0"/>
        <w:contextualSpacing w:val="0"/>
        <w:rPr>
          <w:rFonts w:ascii="Arial" w:hAnsi="Arial" w:cs="Arial"/>
          <w:sz w:val="24"/>
          <w:szCs w:val="24"/>
        </w:rPr>
      </w:pPr>
      <w:r w:rsidRPr="00963997">
        <w:rPr>
          <w:rFonts w:ascii="Arial" w:hAnsi="Arial" w:cs="Arial"/>
          <w:sz w:val="24"/>
          <w:szCs w:val="24"/>
        </w:rPr>
        <w:t>Some recent programmes show signs of being effective - for example, Mana in Mahi. However, some programmes have been less effective and need more work to refine them.</w:t>
      </w:r>
    </w:p>
    <w:p w14:paraId="531BC811" w14:textId="77777777" w:rsidR="004A3CF4" w:rsidRPr="00963997" w:rsidRDefault="004A3CF4" w:rsidP="005D59CC">
      <w:pPr>
        <w:spacing w:before="120" w:after="120" w:line="240" w:lineRule="atLeast"/>
        <w:rPr>
          <w:rFonts w:ascii="Arial" w:eastAsiaTheme="minorHAnsi" w:hAnsi="Arial" w:cs="Arial"/>
          <w:sz w:val="24"/>
          <w:lang w:val="en-NZ"/>
        </w:rPr>
      </w:pPr>
      <w:r w:rsidRPr="00963997">
        <w:rPr>
          <w:rFonts w:ascii="Arial" w:eastAsiaTheme="minorHAnsi" w:hAnsi="Arial" w:cs="Arial"/>
          <w:sz w:val="24"/>
          <w:lang w:val="en-NZ"/>
        </w:rPr>
        <w:t>Previous research suggests the most effective interventions for youth at risk of limited employment include the following elements:</w:t>
      </w:r>
    </w:p>
    <w:p w14:paraId="6BD71E0C" w14:textId="31E46E2F" w:rsidR="004A3CF4" w:rsidRPr="00963997" w:rsidRDefault="004D05FD" w:rsidP="005D59CC">
      <w:pPr>
        <w:pStyle w:val="ListParagraph"/>
        <w:numPr>
          <w:ilvl w:val="0"/>
          <w:numId w:val="28"/>
        </w:numPr>
        <w:spacing w:before="120" w:after="120" w:line="240" w:lineRule="atLeast"/>
        <w:ind w:left="567" w:hanging="425"/>
        <w:contextualSpacing w:val="0"/>
        <w:rPr>
          <w:rFonts w:ascii="Arial" w:hAnsi="Arial" w:cs="Arial"/>
          <w:sz w:val="24"/>
          <w:szCs w:val="24"/>
        </w:rPr>
      </w:pPr>
      <w:r>
        <w:rPr>
          <w:rFonts w:ascii="Arial" w:hAnsi="Arial" w:cs="Arial"/>
          <w:sz w:val="24"/>
          <w:szCs w:val="24"/>
        </w:rPr>
        <w:t>p</w:t>
      </w:r>
      <w:r w:rsidR="004A3CF4" w:rsidRPr="00963997">
        <w:rPr>
          <w:rFonts w:ascii="Arial" w:hAnsi="Arial" w:cs="Arial"/>
          <w:sz w:val="24"/>
          <w:szCs w:val="24"/>
        </w:rPr>
        <w:t>rogrammes that develop interpersonal and soft skills such as time-management, working with others and resilience, teaching young people appropriate behaviour and norms in the workplace.</w:t>
      </w:r>
    </w:p>
    <w:p w14:paraId="36A8A573" w14:textId="31E65F13" w:rsidR="004A3CF4" w:rsidRPr="00963997" w:rsidRDefault="004D05FD" w:rsidP="005D59CC">
      <w:pPr>
        <w:pStyle w:val="ListParagraph"/>
        <w:numPr>
          <w:ilvl w:val="0"/>
          <w:numId w:val="28"/>
        </w:numPr>
        <w:spacing w:before="120" w:after="120" w:line="240" w:lineRule="atLeast"/>
        <w:ind w:left="567" w:hanging="425"/>
        <w:contextualSpacing w:val="0"/>
        <w:rPr>
          <w:rFonts w:ascii="Arial" w:hAnsi="Arial" w:cs="Arial"/>
          <w:sz w:val="24"/>
          <w:szCs w:val="24"/>
        </w:rPr>
      </w:pPr>
      <w:r>
        <w:rPr>
          <w:rFonts w:ascii="Arial" w:hAnsi="Arial" w:cs="Arial"/>
          <w:sz w:val="24"/>
          <w:szCs w:val="24"/>
        </w:rPr>
        <w:t>e</w:t>
      </w:r>
      <w:r w:rsidR="004A3CF4" w:rsidRPr="00963997">
        <w:rPr>
          <w:rFonts w:ascii="Arial" w:hAnsi="Arial" w:cs="Arial"/>
          <w:sz w:val="24"/>
          <w:szCs w:val="24"/>
        </w:rPr>
        <w:t>xperience in the labour market, including work experience. Work experience helps show employers that a young person has the required skills and experience for employment, beyond their qualifications. Both government and employers have a role in facilitating opportunities for work experience.</w:t>
      </w:r>
    </w:p>
    <w:p w14:paraId="7EE0069D" w14:textId="61DFAF08" w:rsidR="004A3CF4" w:rsidRPr="00963997" w:rsidRDefault="004D05FD" w:rsidP="005D59CC">
      <w:pPr>
        <w:pStyle w:val="ListParagraph"/>
        <w:numPr>
          <w:ilvl w:val="0"/>
          <w:numId w:val="28"/>
        </w:numPr>
        <w:spacing w:before="120" w:after="120" w:line="240" w:lineRule="atLeast"/>
        <w:ind w:left="567" w:hanging="425"/>
        <w:contextualSpacing w:val="0"/>
        <w:rPr>
          <w:rFonts w:ascii="Arial" w:hAnsi="Arial" w:cs="Arial"/>
          <w:sz w:val="24"/>
          <w:szCs w:val="24"/>
        </w:rPr>
      </w:pPr>
      <w:r>
        <w:rPr>
          <w:rFonts w:ascii="Arial" w:hAnsi="Arial" w:cs="Arial"/>
          <w:sz w:val="24"/>
          <w:szCs w:val="24"/>
        </w:rPr>
        <w:t>p</w:t>
      </w:r>
      <w:r w:rsidR="004A3CF4" w:rsidRPr="00963997">
        <w:rPr>
          <w:rFonts w:ascii="Arial" w:hAnsi="Arial" w:cs="Arial"/>
          <w:sz w:val="24"/>
          <w:szCs w:val="24"/>
        </w:rPr>
        <w:t>rogrammes that combine multiple interventions and services</w:t>
      </w:r>
      <w:r>
        <w:rPr>
          <w:rFonts w:ascii="Arial" w:hAnsi="Arial" w:cs="Arial"/>
          <w:sz w:val="24"/>
          <w:szCs w:val="24"/>
        </w:rPr>
        <w:t>.</w:t>
      </w:r>
      <w:r w:rsidR="004A3CF4" w:rsidRPr="00963997">
        <w:rPr>
          <w:rFonts w:ascii="Arial" w:hAnsi="Arial" w:cs="Arial"/>
          <w:sz w:val="24"/>
          <w:szCs w:val="24"/>
        </w:rPr>
        <w:t xml:space="preserve"> </w:t>
      </w:r>
      <w:r>
        <w:rPr>
          <w:rFonts w:ascii="Arial" w:hAnsi="Arial" w:cs="Arial"/>
          <w:sz w:val="24"/>
          <w:szCs w:val="24"/>
        </w:rPr>
        <w:t>Y</w:t>
      </w:r>
      <w:r w:rsidR="004A3CF4" w:rsidRPr="00963997">
        <w:rPr>
          <w:rFonts w:ascii="Arial" w:hAnsi="Arial" w:cs="Arial"/>
          <w:sz w:val="24"/>
          <w:szCs w:val="24"/>
        </w:rPr>
        <w:t xml:space="preserve">oung people often face multiple barriers in the labour market. Programmes that only address one barrier are generally ineffective. While there is no specific combination of </w:t>
      </w:r>
      <w:r w:rsidR="004A3CF4" w:rsidRPr="00963997">
        <w:rPr>
          <w:rFonts w:ascii="Arial" w:hAnsi="Arial" w:cs="Arial"/>
          <w:sz w:val="24"/>
          <w:szCs w:val="24"/>
        </w:rPr>
        <w:lastRenderedPageBreak/>
        <w:t>services that always works, programmes that provide wraparound supports, such as pastoral care and on-the-job training, tend to do better.</w:t>
      </w:r>
    </w:p>
    <w:p w14:paraId="736AAD11" w14:textId="5F8216AA" w:rsidR="004A3CF4" w:rsidRPr="00963997" w:rsidRDefault="004D05FD" w:rsidP="005D59CC">
      <w:pPr>
        <w:pStyle w:val="ListParagraph"/>
        <w:numPr>
          <w:ilvl w:val="0"/>
          <w:numId w:val="28"/>
        </w:numPr>
        <w:spacing w:before="120" w:after="120" w:line="240" w:lineRule="atLeast"/>
        <w:ind w:left="567" w:hanging="425"/>
        <w:contextualSpacing w:val="0"/>
        <w:rPr>
          <w:rFonts w:ascii="Arial" w:hAnsi="Arial" w:cs="Arial"/>
          <w:sz w:val="24"/>
          <w:szCs w:val="24"/>
        </w:rPr>
      </w:pPr>
      <w:r>
        <w:rPr>
          <w:rFonts w:ascii="Arial" w:hAnsi="Arial" w:cs="Arial"/>
          <w:sz w:val="24"/>
          <w:szCs w:val="24"/>
        </w:rPr>
        <w:t>t</w:t>
      </w:r>
      <w:r w:rsidR="004A3CF4" w:rsidRPr="00963997">
        <w:rPr>
          <w:rFonts w:ascii="Arial" w:hAnsi="Arial" w:cs="Arial"/>
          <w:sz w:val="24"/>
          <w:szCs w:val="24"/>
        </w:rPr>
        <w:t>argeting and follow-up</w:t>
      </w:r>
      <w:r>
        <w:rPr>
          <w:rFonts w:ascii="Arial" w:hAnsi="Arial" w:cs="Arial"/>
          <w:sz w:val="24"/>
          <w:szCs w:val="24"/>
        </w:rPr>
        <w:t>.</w:t>
      </w:r>
      <w:r w:rsidR="004A3CF4" w:rsidRPr="00963997">
        <w:rPr>
          <w:rFonts w:ascii="Arial" w:hAnsi="Arial" w:cs="Arial"/>
          <w:sz w:val="24"/>
          <w:szCs w:val="24"/>
        </w:rPr>
        <w:t xml:space="preserve"> </w:t>
      </w:r>
      <w:r>
        <w:rPr>
          <w:rFonts w:ascii="Arial" w:hAnsi="Arial" w:cs="Arial"/>
          <w:sz w:val="24"/>
          <w:szCs w:val="24"/>
        </w:rPr>
        <w:t>R</w:t>
      </w:r>
      <w:r w:rsidR="004A3CF4" w:rsidRPr="00963997">
        <w:rPr>
          <w:rFonts w:ascii="Arial" w:hAnsi="Arial" w:cs="Arial"/>
          <w:sz w:val="24"/>
          <w:szCs w:val="24"/>
        </w:rPr>
        <w:t>esearch has found that programmes that target services based on level of need (eg from those requiring minimal support to the most disadvantaged or hard-to-reach) are better able to respond to those needs. Effective follow-up systems and incentives to keep young people in the programme are also important for success.</w:t>
      </w:r>
    </w:p>
    <w:p w14:paraId="5E7E6514" w14:textId="03DC6B4D" w:rsidR="004A3CF4" w:rsidRPr="00963997" w:rsidRDefault="004A3CF4" w:rsidP="005D59CC">
      <w:pPr>
        <w:pStyle w:val="ListParagraph"/>
        <w:spacing w:before="120" w:after="120" w:line="240" w:lineRule="atLeast"/>
        <w:ind w:left="0"/>
        <w:contextualSpacing w:val="0"/>
        <w:rPr>
          <w:rFonts w:ascii="Arial" w:hAnsi="Arial" w:cs="Arial"/>
          <w:sz w:val="24"/>
          <w:szCs w:val="24"/>
        </w:rPr>
      </w:pPr>
      <w:r w:rsidRPr="00963997">
        <w:rPr>
          <w:rFonts w:ascii="Arial" w:hAnsi="Arial" w:cs="Arial"/>
          <w:sz w:val="24"/>
          <w:szCs w:val="24"/>
        </w:rPr>
        <w:t xml:space="preserve">There is also </w:t>
      </w:r>
      <w:r w:rsidR="0030774C">
        <w:rPr>
          <w:rFonts w:ascii="Arial" w:hAnsi="Arial" w:cs="Arial"/>
          <w:sz w:val="24"/>
          <w:szCs w:val="24"/>
        </w:rPr>
        <w:t>the</w:t>
      </w:r>
      <w:r w:rsidRPr="00963997">
        <w:rPr>
          <w:rFonts w:ascii="Arial" w:hAnsi="Arial" w:cs="Arial"/>
          <w:sz w:val="24"/>
          <w:szCs w:val="24"/>
        </w:rPr>
        <w:t xml:space="preserve"> opportunity to look at how we monitor and evaluate the effectiveness of existing and new interventions and share this information across government and the community.</w:t>
      </w:r>
    </w:p>
    <w:p w14:paraId="31F88C81" w14:textId="65FA9403" w:rsidR="004A3CF4" w:rsidRPr="00963997" w:rsidRDefault="004A3CF4" w:rsidP="005D59CC">
      <w:pPr>
        <w:pStyle w:val="ListParagraph"/>
        <w:spacing w:before="120" w:after="120" w:line="240" w:lineRule="atLeast"/>
        <w:ind w:left="0"/>
        <w:contextualSpacing w:val="0"/>
        <w:rPr>
          <w:rFonts w:ascii="Arial" w:hAnsi="Arial" w:cs="Arial"/>
          <w:sz w:val="24"/>
          <w:szCs w:val="24"/>
        </w:rPr>
      </w:pPr>
      <w:r w:rsidRPr="00963997">
        <w:rPr>
          <w:rFonts w:ascii="Arial" w:hAnsi="Arial" w:cs="Arial"/>
          <w:sz w:val="24"/>
          <w:szCs w:val="24"/>
        </w:rPr>
        <w:t xml:space="preserve">Most risk factors for youth at risk of limited employment require a broader preventative response. The ‘Not Just About NEETs’ paper indicates what the key factors are for these young people once they are in the </w:t>
      </w:r>
      <w:proofErr w:type="gramStart"/>
      <w:r w:rsidRPr="00963997">
        <w:rPr>
          <w:rFonts w:ascii="Arial" w:hAnsi="Arial" w:cs="Arial"/>
          <w:sz w:val="24"/>
          <w:szCs w:val="24"/>
        </w:rPr>
        <w:t>16-24</w:t>
      </w:r>
      <w:r w:rsidR="00525D9D">
        <w:rPr>
          <w:rFonts w:ascii="Arial" w:hAnsi="Arial" w:cs="Arial"/>
          <w:sz w:val="24"/>
          <w:szCs w:val="24"/>
        </w:rPr>
        <w:t xml:space="preserve"> </w:t>
      </w:r>
      <w:r w:rsidRPr="00963997">
        <w:rPr>
          <w:rFonts w:ascii="Arial" w:hAnsi="Arial" w:cs="Arial"/>
          <w:sz w:val="24"/>
          <w:szCs w:val="24"/>
        </w:rPr>
        <w:t>year-old</w:t>
      </w:r>
      <w:proofErr w:type="gramEnd"/>
      <w:r w:rsidRPr="00963997">
        <w:rPr>
          <w:rFonts w:ascii="Arial" w:hAnsi="Arial" w:cs="Arial"/>
          <w:sz w:val="24"/>
          <w:szCs w:val="24"/>
        </w:rPr>
        <w:t xml:space="preserve"> age group.  In particular, the two key factors that signal young people’s suitability for jobs to employers are:</w:t>
      </w:r>
    </w:p>
    <w:p w14:paraId="2732FB58" w14:textId="3A0D1076" w:rsidR="004A3CF4" w:rsidRPr="00963997" w:rsidRDefault="004A3CF4" w:rsidP="005D59CC">
      <w:pPr>
        <w:pStyle w:val="ListParagraph"/>
        <w:numPr>
          <w:ilvl w:val="0"/>
          <w:numId w:val="27"/>
        </w:numPr>
        <w:spacing w:before="120" w:after="120" w:line="240" w:lineRule="atLeast"/>
        <w:ind w:left="709"/>
        <w:contextualSpacing w:val="0"/>
        <w:rPr>
          <w:rFonts w:ascii="Arial" w:hAnsi="Arial" w:cs="Arial"/>
          <w:sz w:val="24"/>
          <w:szCs w:val="24"/>
        </w:rPr>
      </w:pPr>
      <w:r w:rsidRPr="00963997">
        <w:rPr>
          <w:rFonts w:ascii="Arial" w:hAnsi="Arial" w:cs="Arial"/>
          <w:sz w:val="24"/>
          <w:szCs w:val="24"/>
        </w:rPr>
        <w:t xml:space="preserve">work experience, which is seen as changing young people’s employment capability and motivations </w:t>
      </w:r>
    </w:p>
    <w:p w14:paraId="39F53390" w14:textId="40147FD2" w:rsidR="00F21137" w:rsidRPr="00963997" w:rsidRDefault="004A3CF4" w:rsidP="005D59CC">
      <w:pPr>
        <w:pStyle w:val="ListParagraph"/>
        <w:numPr>
          <w:ilvl w:val="0"/>
          <w:numId w:val="27"/>
        </w:numPr>
        <w:spacing w:before="120" w:after="120" w:line="240" w:lineRule="atLeast"/>
        <w:ind w:left="709"/>
        <w:contextualSpacing w:val="0"/>
        <w:rPr>
          <w:rFonts w:ascii="Arial" w:hAnsi="Arial" w:cs="Arial"/>
          <w:sz w:val="24"/>
          <w:szCs w:val="24"/>
        </w:rPr>
      </w:pPr>
      <w:r w:rsidRPr="00963997">
        <w:rPr>
          <w:rFonts w:ascii="Arial" w:hAnsi="Arial" w:cs="Arial"/>
          <w:sz w:val="24"/>
          <w:szCs w:val="24"/>
        </w:rPr>
        <w:t>non-cognitive skills that are important for education and employment outcomes and are highly valued by employers.</w:t>
      </w:r>
    </w:p>
    <w:p w14:paraId="6CFF5BE3" w14:textId="7C8D9D2C" w:rsidR="006400A7" w:rsidRPr="00963997" w:rsidRDefault="0083399A" w:rsidP="005D59CC">
      <w:pPr>
        <w:pStyle w:val="Title"/>
        <w:spacing w:before="120" w:after="120" w:line="240" w:lineRule="atLeast"/>
        <w:contextualSpacing w:val="0"/>
      </w:pPr>
      <w:r w:rsidRPr="00963997">
        <w:t>Proposed s</w:t>
      </w:r>
      <w:r w:rsidR="004A3CF4" w:rsidRPr="00963997">
        <w:t>cope</w:t>
      </w:r>
      <w:r w:rsidR="009F76EE" w:rsidRPr="00963997">
        <w:t xml:space="preserve"> of the Long</w:t>
      </w:r>
      <w:r w:rsidR="00BC2AC4" w:rsidRPr="00963997">
        <w:t>-T</w:t>
      </w:r>
      <w:r w:rsidR="009F76EE" w:rsidRPr="00963997">
        <w:t>erm Insights Briefing</w:t>
      </w:r>
      <w:r w:rsidR="00570F22" w:rsidRPr="00963997">
        <w:t xml:space="preserve"> </w:t>
      </w:r>
    </w:p>
    <w:p w14:paraId="0944D969" w14:textId="5FD3969F" w:rsidR="006400A7" w:rsidRPr="00963997" w:rsidRDefault="006400A7" w:rsidP="005D59CC">
      <w:pPr>
        <w:pStyle w:val="Heading1"/>
        <w:spacing w:before="120" w:after="120" w:line="240" w:lineRule="atLeast"/>
        <w:rPr>
          <w:b/>
          <w:bCs/>
        </w:rPr>
      </w:pPr>
      <w:r w:rsidRPr="00963997">
        <w:rPr>
          <w:b/>
          <w:bCs/>
        </w:rPr>
        <w:t xml:space="preserve">Key question to consider: </w:t>
      </w:r>
      <w:bookmarkStart w:id="7" w:name="_Hlk74927585"/>
      <w:r w:rsidRPr="00963997">
        <w:rPr>
          <w:b/>
          <w:bCs/>
        </w:rPr>
        <w:t xml:space="preserve">Do you agree with the proposed scope of the </w:t>
      </w:r>
      <w:r w:rsidR="00BC2AC4" w:rsidRPr="00963997">
        <w:rPr>
          <w:b/>
          <w:bCs/>
        </w:rPr>
        <w:t>Long-Term</w:t>
      </w:r>
      <w:r w:rsidRPr="00963997">
        <w:rPr>
          <w:b/>
          <w:bCs/>
        </w:rPr>
        <w:t xml:space="preserve"> Insights Briefing?</w:t>
      </w:r>
      <w:bookmarkEnd w:id="7"/>
    </w:p>
    <w:p w14:paraId="6A523C27" w14:textId="114E0449" w:rsidR="003C3200" w:rsidRPr="00963997" w:rsidRDefault="006400A7" w:rsidP="005D59CC">
      <w:pPr>
        <w:spacing w:before="120" w:after="120" w:line="240" w:lineRule="atLeast"/>
        <w:rPr>
          <w:rFonts w:ascii="Arial" w:eastAsiaTheme="majorEastAsia" w:hAnsi="Arial" w:cs="Arial"/>
          <w:sz w:val="24"/>
        </w:rPr>
      </w:pPr>
      <w:r w:rsidRPr="00963997">
        <w:rPr>
          <w:rFonts w:ascii="Arial" w:hAnsi="Arial" w:cs="Arial"/>
          <w:sz w:val="24"/>
        </w:rPr>
        <w:t>E</w:t>
      </w:r>
      <w:r w:rsidR="003C3200" w:rsidRPr="00963997">
        <w:rPr>
          <w:rFonts w:ascii="Arial" w:hAnsi="Arial" w:cs="Arial"/>
          <w:sz w:val="24"/>
        </w:rPr>
        <w:t xml:space="preserve">mployment, labour </w:t>
      </w:r>
      <w:proofErr w:type="gramStart"/>
      <w:r w:rsidR="003C3200" w:rsidRPr="00963997">
        <w:rPr>
          <w:rFonts w:ascii="Arial" w:hAnsi="Arial" w:cs="Arial"/>
          <w:sz w:val="24"/>
        </w:rPr>
        <w:t>market</w:t>
      </w:r>
      <w:proofErr w:type="gramEnd"/>
      <w:r w:rsidR="003C3200" w:rsidRPr="00963997">
        <w:rPr>
          <w:rFonts w:ascii="Arial" w:hAnsi="Arial" w:cs="Arial"/>
          <w:sz w:val="24"/>
        </w:rPr>
        <w:t xml:space="preserve"> and education statistics show us that more could be done</w:t>
      </w:r>
      <w:r w:rsidRPr="00963997">
        <w:rPr>
          <w:rFonts w:ascii="Arial" w:hAnsi="Arial" w:cs="Arial"/>
          <w:sz w:val="24"/>
        </w:rPr>
        <w:t xml:space="preserve"> to improve employment outcomes to ensure at-risk young people are not limited in reaching their full potential.</w:t>
      </w:r>
    </w:p>
    <w:p w14:paraId="1F156CF8" w14:textId="1C4E978C" w:rsidR="006144FF" w:rsidRPr="00963997" w:rsidRDefault="00AF6590" w:rsidP="005D59CC">
      <w:pPr>
        <w:spacing w:before="120" w:after="120" w:line="240" w:lineRule="atLeast"/>
        <w:rPr>
          <w:rFonts w:ascii="Arial" w:eastAsiaTheme="minorHAnsi" w:hAnsi="Arial" w:cs="Arial"/>
          <w:sz w:val="24"/>
          <w:lang w:val="en-NZ"/>
        </w:rPr>
      </w:pPr>
      <w:r w:rsidRPr="00963997">
        <w:rPr>
          <w:rFonts w:ascii="Arial" w:eastAsiaTheme="minorHAnsi" w:hAnsi="Arial" w:cs="Arial"/>
          <w:sz w:val="24"/>
          <w:lang w:val="en-NZ"/>
        </w:rPr>
        <w:t xml:space="preserve">The proposed scope </w:t>
      </w:r>
      <w:r w:rsidR="006144FF" w:rsidRPr="00963997">
        <w:rPr>
          <w:rFonts w:ascii="Arial" w:eastAsiaTheme="minorHAnsi" w:hAnsi="Arial" w:cs="Arial"/>
          <w:sz w:val="24"/>
          <w:lang w:val="en-NZ"/>
        </w:rPr>
        <w:t>of the</w:t>
      </w:r>
      <w:r w:rsidR="004A3CF4" w:rsidRPr="00963997">
        <w:rPr>
          <w:rFonts w:ascii="Arial" w:eastAsiaTheme="minorHAnsi" w:hAnsi="Arial" w:cs="Arial"/>
          <w:sz w:val="24"/>
          <w:lang w:val="en-NZ"/>
        </w:rPr>
        <w:t xml:space="preserve"> </w:t>
      </w:r>
      <w:r w:rsidR="00BC2AC4" w:rsidRPr="00963997">
        <w:rPr>
          <w:rFonts w:ascii="Arial" w:hAnsi="Arial" w:cs="Arial"/>
          <w:sz w:val="24"/>
        </w:rPr>
        <w:t>Long-Term</w:t>
      </w:r>
      <w:r w:rsidR="004A3CF4" w:rsidRPr="00963997">
        <w:rPr>
          <w:rFonts w:ascii="Arial" w:hAnsi="Arial" w:cs="Arial"/>
          <w:sz w:val="24"/>
        </w:rPr>
        <w:t xml:space="preserve"> Insights Briefing</w:t>
      </w:r>
      <w:r w:rsidR="006144FF" w:rsidRPr="00963997">
        <w:rPr>
          <w:rFonts w:ascii="Arial" w:eastAsiaTheme="minorHAnsi" w:hAnsi="Arial" w:cs="Arial"/>
          <w:sz w:val="24"/>
          <w:lang w:val="en-NZ"/>
        </w:rPr>
        <w:t xml:space="preserve"> </w:t>
      </w:r>
      <w:r w:rsidR="003C3200" w:rsidRPr="00963997">
        <w:rPr>
          <w:rFonts w:ascii="Arial" w:eastAsiaTheme="minorHAnsi" w:hAnsi="Arial" w:cs="Arial"/>
          <w:sz w:val="24"/>
          <w:lang w:val="en-NZ"/>
        </w:rPr>
        <w:t>cover</w:t>
      </w:r>
      <w:r w:rsidRPr="00963997">
        <w:rPr>
          <w:rFonts w:ascii="Arial" w:eastAsiaTheme="minorHAnsi" w:hAnsi="Arial" w:cs="Arial"/>
          <w:sz w:val="24"/>
          <w:lang w:val="en-NZ"/>
        </w:rPr>
        <w:t>s</w:t>
      </w:r>
      <w:r w:rsidR="006144FF" w:rsidRPr="00963997">
        <w:rPr>
          <w:rFonts w:ascii="Arial" w:eastAsiaTheme="minorHAnsi" w:hAnsi="Arial" w:cs="Arial"/>
          <w:sz w:val="24"/>
          <w:lang w:val="en-NZ"/>
        </w:rPr>
        <w:t xml:space="preserve"> the areas of responsibility of </w:t>
      </w:r>
      <w:r w:rsidR="003C3200" w:rsidRPr="00963997">
        <w:rPr>
          <w:rFonts w:ascii="Arial" w:hAnsi="Arial" w:cs="Arial"/>
          <w:sz w:val="24"/>
        </w:rPr>
        <w:t>the Ministry of Education</w:t>
      </w:r>
      <w:r w:rsidRPr="00963997">
        <w:rPr>
          <w:rFonts w:ascii="Arial" w:eastAsiaTheme="minorHAnsi" w:hAnsi="Arial" w:cs="Arial"/>
          <w:sz w:val="24"/>
          <w:lang w:val="en-NZ"/>
        </w:rPr>
        <w:t>,</w:t>
      </w:r>
      <w:r w:rsidR="003C3200" w:rsidRPr="00963997">
        <w:rPr>
          <w:rFonts w:ascii="Arial" w:eastAsiaTheme="minorHAnsi" w:hAnsi="Arial" w:cs="Arial"/>
          <w:sz w:val="24"/>
          <w:lang w:val="en-NZ"/>
        </w:rPr>
        <w:t xml:space="preserve"> </w:t>
      </w:r>
      <w:r w:rsidR="003C3200" w:rsidRPr="00963997">
        <w:rPr>
          <w:rFonts w:ascii="Arial" w:hAnsi="Arial" w:cs="Arial"/>
          <w:sz w:val="24"/>
        </w:rPr>
        <w:t>Ministry of Social Development, Ministry of Business, Innovation and Employment</w:t>
      </w:r>
      <w:r w:rsidR="00BC2AC4" w:rsidRPr="00963997">
        <w:rPr>
          <w:rFonts w:ascii="Arial" w:hAnsi="Arial" w:cs="Arial"/>
          <w:sz w:val="24"/>
        </w:rPr>
        <w:t>, which include</w:t>
      </w:r>
      <w:r w:rsidRPr="00963997">
        <w:rPr>
          <w:rFonts w:ascii="Arial" w:hAnsi="Arial" w:cs="Arial"/>
          <w:sz w:val="24"/>
        </w:rPr>
        <w:t>:</w:t>
      </w:r>
      <w:r w:rsidR="003C3200" w:rsidRPr="00963997">
        <w:rPr>
          <w:rFonts w:ascii="Arial" w:hAnsi="Arial" w:cs="Arial"/>
          <w:sz w:val="24"/>
        </w:rPr>
        <w:t xml:space="preserve"> </w:t>
      </w:r>
    </w:p>
    <w:p w14:paraId="14022F01" w14:textId="77777777" w:rsidR="006144FF" w:rsidRPr="00963997" w:rsidRDefault="006144FF" w:rsidP="005D59CC">
      <w:pPr>
        <w:pStyle w:val="ListParagraph"/>
        <w:numPr>
          <w:ilvl w:val="0"/>
          <w:numId w:val="45"/>
        </w:numPr>
        <w:spacing w:before="120" w:after="120" w:line="240" w:lineRule="atLeast"/>
        <w:ind w:left="709"/>
        <w:contextualSpacing w:val="0"/>
        <w:rPr>
          <w:rFonts w:ascii="Arial" w:hAnsi="Arial" w:cs="Arial"/>
          <w:sz w:val="24"/>
          <w:szCs w:val="24"/>
        </w:rPr>
      </w:pPr>
      <w:r w:rsidRPr="00963997">
        <w:rPr>
          <w:rFonts w:ascii="Arial" w:hAnsi="Arial" w:cs="Arial"/>
          <w:sz w:val="24"/>
          <w:szCs w:val="24"/>
        </w:rPr>
        <w:t>the education and training system</w:t>
      </w:r>
    </w:p>
    <w:p w14:paraId="32D1E2BA" w14:textId="15D89AAE" w:rsidR="006144FF" w:rsidRPr="00963997" w:rsidRDefault="006144FF" w:rsidP="005D59CC">
      <w:pPr>
        <w:pStyle w:val="ListParagraph"/>
        <w:numPr>
          <w:ilvl w:val="0"/>
          <w:numId w:val="45"/>
        </w:numPr>
        <w:spacing w:before="120" w:after="120" w:line="240" w:lineRule="atLeast"/>
        <w:ind w:left="709"/>
        <w:contextualSpacing w:val="0"/>
        <w:rPr>
          <w:rFonts w:ascii="Arial" w:hAnsi="Arial" w:cs="Arial"/>
          <w:sz w:val="24"/>
          <w:szCs w:val="24"/>
        </w:rPr>
      </w:pPr>
      <w:r w:rsidRPr="00963997">
        <w:rPr>
          <w:rFonts w:ascii="Arial" w:hAnsi="Arial" w:cs="Arial"/>
          <w:sz w:val="24"/>
          <w:szCs w:val="24"/>
        </w:rPr>
        <w:t>the social welfare system</w:t>
      </w:r>
      <w:r w:rsidR="006400A7" w:rsidRPr="00963997">
        <w:rPr>
          <w:rFonts w:ascii="Arial" w:hAnsi="Arial" w:cs="Arial"/>
          <w:sz w:val="24"/>
          <w:szCs w:val="24"/>
        </w:rPr>
        <w:t xml:space="preserve"> (which includes employment services and assistance)</w:t>
      </w:r>
    </w:p>
    <w:p w14:paraId="38F3B73D" w14:textId="77777777" w:rsidR="006144FF" w:rsidRPr="00963997" w:rsidRDefault="006144FF" w:rsidP="005D59CC">
      <w:pPr>
        <w:pStyle w:val="ListParagraph"/>
        <w:numPr>
          <w:ilvl w:val="0"/>
          <w:numId w:val="45"/>
        </w:numPr>
        <w:spacing w:before="120" w:after="120" w:line="240" w:lineRule="atLeast"/>
        <w:ind w:left="709"/>
        <w:contextualSpacing w:val="0"/>
        <w:rPr>
          <w:rFonts w:ascii="Arial" w:hAnsi="Arial" w:cs="Arial"/>
          <w:sz w:val="24"/>
          <w:szCs w:val="24"/>
        </w:rPr>
      </w:pPr>
      <w:r w:rsidRPr="00963997">
        <w:rPr>
          <w:rFonts w:ascii="Arial" w:hAnsi="Arial" w:cs="Arial"/>
          <w:sz w:val="24"/>
          <w:szCs w:val="24"/>
        </w:rPr>
        <w:t>regulation of the labour market.</w:t>
      </w:r>
    </w:p>
    <w:p w14:paraId="18C9EE49" w14:textId="470BF8B8" w:rsidR="006144FF" w:rsidRPr="00963997" w:rsidRDefault="006144FF" w:rsidP="005D59CC">
      <w:pPr>
        <w:spacing w:before="120" w:after="120" w:line="240" w:lineRule="atLeast"/>
        <w:rPr>
          <w:rFonts w:ascii="Arial" w:eastAsiaTheme="minorHAnsi" w:hAnsi="Arial" w:cs="Arial"/>
          <w:sz w:val="24"/>
          <w:lang w:val="en-NZ"/>
        </w:rPr>
      </w:pPr>
      <w:r w:rsidRPr="00963997">
        <w:rPr>
          <w:rFonts w:ascii="Arial" w:eastAsiaTheme="minorHAnsi" w:hAnsi="Arial" w:cs="Arial"/>
          <w:sz w:val="24"/>
          <w:lang w:val="en-NZ"/>
        </w:rPr>
        <w:t xml:space="preserve">We do not propose that other areas such as housing, physical and mental health and the justice system will be in scope of this </w:t>
      </w:r>
      <w:r w:rsidR="00BC2AC4" w:rsidRPr="00963997">
        <w:rPr>
          <w:rFonts w:ascii="Arial" w:eastAsiaTheme="minorHAnsi" w:hAnsi="Arial" w:cs="Arial"/>
          <w:sz w:val="24"/>
          <w:lang w:val="en-NZ"/>
        </w:rPr>
        <w:t>Long-Term</w:t>
      </w:r>
      <w:r w:rsidR="006400A7" w:rsidRPr="00963997">
        <w:rPr>
          <w:rFonts w:ascii="Arial" w:eastAsiaTheme="minorHAnsi" w:hAnsi="Arial" w:cs="Arial"/>
          <w:sz w:val="24"/>
          <w:lang w:val="en-NZ"/>
        </w:rPr>
        <w:t xml:space="preserve"> Insights Briefing</w:t>
      </w:r>
      <w:r w:rsidRPr="00963997">
        <w:rPr>
          <w:rFonts w:ascii="Arial" w:eastAsiaTheme="minorHAnsi" w:hAnsi="Arial" w:cs="Arial"/>
          <w:sz w:val="24"/>
          <w:lang w:val="en-NZ"/>
        </w:rPr>
        <w:t>, although we recognise these are closely linked.</w:t>
      </w:r>
    </w:p>
    <w:p w14:paraId="078621EF" w14:textId="315188BB" w:rsidR="006144FF" w:rsidRPr="00963997" w:rsidRDefault="00F21137" w:rsidP="00985D33">
      <w:pPr>
        <w:pStyle w:val="HeadingA"/>
        <w:keepNext/>
      </w:pPr>
      <w:r w:rsidRPr="00963997">
        <w:lastRenderedPageBreak/>
        <w:t>Proposed</w:t>
      </w:r>
      <w:r w:rsidR="006144FF" w:rsidRPr="00963997">
        <w:t xml:space="preserve"> focus areas</w:t>
      </w:r>
      <w:r w:rsidRPr="00963997">
        <w:t xml:space="preserve"> for the </w:t>
      </w:r>
      <w:r w:rsidR="00BC2AC4" w:rsidRPr="00963997">
        <w:t>Long-Term</w:t>
      </w:r>
      <w:r w:rsidRPr="00963997">
        <w:t xml:space="preserve"> Insights Briefing </w:t>
      </w:r>
    </w:p>
    <w:p w14:paraId="29DF4A9F" w14:textId="6C2F7E58" w:rsidR="00644C78" w:rsidRDefault="00644C78" w:rsidP="00663C33">
      <w:pPr>
        <w:pStyle w:val="Heading1"/>
        <w:rPr>
          <w:b/>
          <w:bCs/>
          <w:lang w:val="en-NZ"/>
        </w:rPr>
      </w:pPr>
      <w:bookmarkStart w:id="8" w:name="_Hlk74927597"/>
      <w:r w:rsidRPr="00663C33">
        <w:rPr>
          <w:b/>
          <w:bCs/>
          <w:lang w:val="en-NZ"/>
        </w:rPr>
        <w:t xml:space="preserve">Key questions to consider: </w:t>
      </w:r>
    </w:p>
    <w:p w14:paraId="750EE54F" w14:textId="77777777" w:rsidR="0030774C" w:rsidRPr="0030774C" w:rsidRDefault="0030774C" w:rsidP="0030774C">
      <w:pPr>
        <w:rPr>
          <w:lang w:val="en-NZ"/>
        </w:rPr>
      </w:pPr>
    </w:p>
    <w:p w14:paraId="082BC07E" w14:textId="0C6E0A0F" w:rsidR="0030774C" w:rsidRPr="0030774C" w:rsidRDefault="0030774C" w:rsidP="0030774C">
      <w:pPr>
        <w:rPr>
          <w:lang w:val="en-NZ"/>
        </w:rPr>
      </w:pPr>
      <w:r w:rsidRPr="00841245">
        <w:rPr>
          <w:rFonts w:ascii="Arial" w:hAnsi="Arial" w:cs="Arial"/>
          <w:noProof/>
          <w:sz w:val="24"/>
        </w:rPr>
        <mc:AlternateContent>
          <mc:Choice Requires="wps">
            <w:drawing>
              <wp:inline distT="0" distB="0" distL="0" distR="0" wp14:anchorId="72F5C27B" wp14:editId="5B6C7E20">
                <wp:extent cx="5520690" cy="1404620"/>
                <wp:effectExtent l="0" t="0" r="2286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690" cy="1404620"/>
                        </a:xfrm>
                        <a:prstGeom prst="rect">
                          <a:avLst/>
                        </a:prstGeom>
                        <a:noFill/>
                        <a:ln w="12700">
                          <a:solidFill>
                            <a:schemeClr val="accent1"/>
                          </a:solidFill>
                          <a:miter lim="800000"/>
                          <a:headEnd/>
                          <a:tailEnd/>
                        </a:ln>
                      </wps:spPr>
                      <wps:txbx>
                        <w:txbxContent>
                          <w:p w14:paraId="690170CE" w14:textId="77777777" w:rsidR="0030774C" w:rsidRPr="00963997" w:rsidRDefault="0030774C" w:rsidP="0030774C">
                            <w:pPr>
                              <w:pStyle w:val="ListParagraph"/>
                              <w:numPr>
                                <w:ilvl w:val="0"/>
                                <w:numId w:val="83"/>
                              </w:numPr>
                              <w:spacing w:before="120" w:after="120" w:line="240" w:lineRule="atLeast"/>
                              <w:contextualSpacing w:val="0"/>
                              <w:rPr>
                                <w:rFonts w:ascii="Arial" w:hAnsi="Arial" w:cs="Arial"/>
                                <w:sz w:val="24"/>
                              </w:rPr>
                            </w:pPr>
                            <w:r w:rsidRPr="00963997">
                              <w:rPr>
                                <w:rFonts w:ascii="Arial" w:hAnsi="Arial" w:cs="Arial"/>
                                <w:sz w:val="24"/>
                                <w:szCs w:val="24"/>
                              </w:rPr>
                              <w:t xml:space="preserve">We </w:t>
                            </w:r>
                            <w:r>
                              <w:rPr>
                                <w:rFonts w:ascii="Arial" w:hAnsi="Arial" w:cs="Arial"/>
                                <w:sz w:val="24"/>
                                <w:szCs w:val="24"/>
                              </w:rPr>
                              <w:t>have identified</w:t>
                            </w:r>
                            <w:r w:rsidRPr="00963997">
                              <w:rPr>
                                <w:rFonts w:ascii="Arial" w:hAnsi="Arial" w:cs="Arial"/>
                                <w:sz w:val="24"/>
                                <w:szCs w:val="24"/>
                              </w:rPr>
                              <w:t xml:space="preserve"> three broad focus areas. Do you agree with those focus areas</w:t>
                            </w:r>
                            <w:r>
                              <w:rPr>
                                <w:rFonts w:ascii="Arial" w:hAnsi="Arial" w:cs="Arial"/>
                                <w:sz w:val="24"/>
                                <w:szCs w:val="24"/>
                              </w:rPr>
                              <w:t>, and why or why not</w:t>
                            </w:r>
                            <w:r w:rsidRPr="00963997">
                              <w:rPr>
                                <w:rFonts w:ascii="Arial" w:hAnsi="Arial" w:cs="Arial"/>
                                <w:sz w:val="24"/>
                                <w:szCs w:val="24"/>
                              </w:rPr>
                              <w:t>?</w:t>
                            </w:r>
                          </w:p>
                          <w:p w14:paraId="77517F3A" w14:textId="77777777" w:rsidR="0030774C" w:rsidRPr="00963997" w:rsidRDefault="0030774C" w:rsidP="0030774C">
                            <w:pPr>
                              <w:pStyle w:val="ListParagraph"/>
                              <w:numPr>
                                <w:ilvl w:val="0"/>
                                <w:numId w:val="83"/>
                              </w:numPr>
                              <w:spacing w:before="120" w:after="120" w:line="240" w:lineRule="atLeast"/>
                              <w:contextualSpacing w:val="0"/>
                              <w:rPr>
                                <w:rFonts w:ascii="Arial" w:hAnsi="Arial" w:cs="Arial"/>
                                <w:sz w:val="24"/>
                              </w:rPr>
                            </w:pPr>
                            <w:r w:rsidRPr="00963997">
                              <w:rPr>
                                <w:rFonts w:ascii="Arial" w:hAnsi="Arial" w:cs="Arial"/>
                                <w:sz w:val="24"/>
                                <w:szCs w:val="24"/>
                              </w:rPr>
                              <w:t xml:space="preserve">Which focus areas do </w:t>
                            </w:r>
                            <w:r w:rsidRPr="00C42917">
                              <w:rPr>
                                <w:rFonts w:ascii="Arial" w:hAnsi="Arial" w:cs="Arial"/>
                                <w:sz w:val="24"/>
                              </w:rPr>
                              <w:t>you think should get the highest priority?</w:t>
                            </w:r>
                          </w:p>
                          <w:p w14:paraId="0C8ABF99" w14:textId="77777777" w:rsidR="0030774C" w:rsidRPr="00C42917" w:rsidRDefault="0030774C" w:rsidP="0030774C">
                            <w:pPr>
                              <w:pStyle w:val="ListParagraph"/>
                              <w:numPr>
                                <w:ilvl w:val="0"/>
                                <w:numId w:val="83"/>
                              </w:numPr>
                              <w:spacing w:before="120" w:after="120" w:line="240" w:lineRule="atLeast"/>
                              <w:contextualSpacing w:val="0"/>
                              <w:rPr>
                                <w:rFonts w:ascii="Arial" w:hAnsi="Arial" w:cs="Arial"/>
                                <w:sz w:val="24"/>
                              </w:rPr>
                            </w:pPr>
                            <w:r>
                              <w:rPr>
                                <w:rFonts w:ascii="Arial" w:hAnsi="Arial" w:cs="Arial"/>
                                <w:sz w:val="24"/>
                              </w:rPr>
                              <w:t>Are there any other focus areas you think we should consider?</w:t>
                            </w:r>
                          </w:p>
                          <w:p w14:paraId="41E4F6DF" w14:textId="77777777" w:rsidR="0030774C" w:rsidRPr="00C42917" w:rsidRDefault="0030774C" w:rsidP="0030774C">
                            <w:pPr>
                              <w:pStyle w:val="ListParagraph"/>
                              <w:numPr>
                                <w:ilvl w:val="0"/>
                                <w:numId w:val="83"/>
                              </w:numPr>
                              <w:spacing w:before="120" w:after="120" w:line="240" w:lineRule="atLeast"/>
                              <w:contextualSpacing w:val="0"/>
                              <w:rPr>
                                <w:rFonts w:ascii="Arial" w:hAnsi="Arial" w:cs="Arial"/>
                                <w:sz w:val="24"/>
                              </w:rPr>
                            </w:pPr>
                            <w:r w:rsidRPr="00C42917">
                              <w:rPr>
                                <w:rFonts w:ascii="Arial" w:hAnsi="Arial" w:cs="Arial"/>
                                <w:sz w:val="24"/>
                              </w:rPr>
                              <w:t>What do you see as the best opportunities to get better results for young people at risk of limited employment?</w:t>
                            </w:r>
                          </w:p>
                          <w:p w14:paraId="07DF9BE3" w14:textId="77777777" w:rsidR="0030774C" w:rsidRPr="00C42917" w:rsidRDefault="0030774C" w:rsidP="0030774C">
                            <w:pPr>
                              <w:pStyle w:val="ListParagraph"/>
                              <w:numPr>
                                <w:ilvl w:val="0"/>
                                <w:numId w:val="83"/>
                              </w:numPr>
                              <w:spacing w:before="120" w:after="120" w:line="240" w:lineRule="atLeast"/>
                              <w:contextualSpacing w:val="0"/>
                              <w:rPr>
                                <w:rFonts w:ascii="Arial" w:hAnsi="Arial" w:cs="Arial"/>
                                <w:sz w:val="24"/>
                              </w:rPr>
                            </w:pPr>
                            <w:r w:rsidRPr="00C42917">
                              <w:rPr>
                                <w:rFonts w:ascii="Arial" w:hAnsi="Arial" w:cs="Arial"/>
                                <w:sz w:val="24"/>
                              </w:rPr>
                              <w:t xml:space="preserve">Are there barriers we </w:t>
                            </w:r>
                            <w:r>
                              <w:rPr>
                                <w:rFonts w:ascii="Arial" w:hAnsi="Arial" w:cs="Arial"/>
                                <w:sz w:val="24"/>
                              </w:rPr>
                              <w:t>have not</w:t>
                            </w:r>
                            <w:r w:rsidRPr="00C42917">
                              <w:rPr>
                                <w:rFonts w:ascii="Arial" w:hAnsi="Arial" w:cs="Arial"/>
                                <w:sz w:val="24"/>
                              </w:rPr>
                              <w:t xml:space="preserve"> mentioned?</w:t>
                            </w:r>
                          </w:p>
                        </w:txbxContent>
                      </wps:txbx>
                      <wps:bodyPr rot="0" vert="horz" wrap="square" lIns="91440" tIns="45720" rIns="91440" bIns="45720" anchor="t" anchorCtr="0">
                        <a:spAutoFit/>
                      </wps:bodyPr>
                    </wps:wsp>
                  </a:graphicData>
                </a:graphic>
              </wp:inline>
            </w:drawing>
          </mc:Choice>
          <mc:Fallback>
            <w:pict>
              <v:shapetype w14:anchorId="72F5C27B" id="_x0000_t202" coordsize="21600,21600" o:spt="202" path="m,l,21600r21600,l21600,xe">
                <v:stroke joinstyle="miter"/>
                <v:path gradientshapeok="t" o:connecttype="rect"/>
              </v:shapetype>
              <v:shape id="Text Box 2" o:spid="_x0000_s1026" type="#_x0000_t202" style="width:434.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" filled="f" strokecolor="#4472c4 [3204]" strokeweight="1pt">
                <v:textbox style="mso-fit-shape-to-text:t">
                  <w:txbxContent>
                    <w:p w14:paraId="690170CE" w14:textId="77777777" w:rsidR="0030774C" w:rsidRPr="00963997" w:rsidRDefault="0030774C" w:rsidP="0030774C">
                      <w:pPr>
                        <w:pStyle w:val="ListParagraph"/>
                        <w:numPr>
                          <w:ilvl w:val="0"/>
                          <w:numId w:val="83"/>
                        </w:numPr>
                        <w:spacing w:before="120" w:after="120" w:line="240" w:lineRule="atLeast"/>
                        <w:contextualSpacing w:val="0"/>
                        <w:rPr>
                          <w:rFonts w:ascii="Arial" w:hAnsi="Arial" w:cs="Arial"/>
                          <w:sz w:val="24"/>
                        </w:rPr>
                      </w:pPr>
                      <w:r w:rsidRPr="00963997">
                        <w:rPr>
                          <w:rFonts w:ascii="Arial" w:hAnsi="Arial" w:cs="Arial"/>
                          <w:sz w:val="24"/>
                          <w:szCs w:val="24"/>
                        </w:rPr>
                        <w:t xml:space="preserve">We </w:t>
                      </w:r>
                      <w:r>
                        <w:rPr>
                          <w:rFonts w:ascii="Arial" w:hAnsi="Arial" w:cs="Arial"/>
                          <w:sz w:val="24"/>
                          <w:szCs w:val="24"/>
                        </w:rPr>
                        <w:t>have identified</w:t>
                      </w:r>
                      <w:r w:rsidRPr="00963997">
                        <w:rPr>
                          <w:rFonts w:ascii="Arial" w:hAnsi="Arial" w:cs="Arial"/>
                          <w:sz w:val="24"/>
                          <w:szCs w:val="24"/>
                        </w:rPr>
                        <w:t xml:space="preserve"> three broad focus areas. Do you agree with those focus areas</w:t>
                      </w:r>
                      <w:r>
                        <w:rPr>
                          <w:rFonts w:ascii="Arial" w:hAnsi="Arial" w:cs="Arial"/>
                          <w:sz w:val="24"/>
                          <w:szCs w:val="24"/>
                        </w:rPr>
                        <w:t>, and why or why not</w:t>
                      </w:r>
                      <w:r w:rsidRPr="00963997">
                        <w:rPr>
                          <w:rFonts w:ascii="Arial" w:hAnsi="Arial" w:cs="Arial"/>
                          <w:sz w:val="24"/>
                          <w:szCs w:val="24"/>
                        </w:rPr>
                        <w:t>?</w:t>
                      </w:r>
                    </w:p>
                    <w:p w14:paraId="77517F3A" w14:textId="77777777" w:rsidR="0030774C" w:rsidRPr="00963997" w:rsidRDefault="0030774C" w:rsidP="0030774C">
                      <w:pPr>
                        <w:pStyle w:val="ListParagraph"/>
                        <w:numPr>
                          <w:ilvl w:val="0"/>
                          <w:numId w:val="83"/>
                        </w:numPr>
                        <w:spacing w:before="120" w:after="120" w:line="240" w:lineRule="atLeast"/>
                        <w:contextualSpacing w:val="0"/>
                        <w:rPr>
                          <w:rFonts w:ascii="Arial" w:hAnsi="Arial" w:cs="Arial"/>
                          <w:sz w:val="24"/>
                        </w:rPr>
                      </w:pPr>
                      <w:r w:rsidRPr="00963997">
                        <w:rPr>
                          <w:rFonts w:ascii="Arial" w:hAnsi="Arial" w:cs="Arial"/>
                          <w:sz w:val="24"/>
                          <w:szCs w:val="24"/>
                        </w:rPr>
                        <w:t xml:space="preserve">Which focus areas do </w:t>
                      </w:r>
                      <w:r w:rsidRPr="00C42917">
                        <w:rPr>
                          <w:rFonts w:ascii="Arial" w:hAnsi="Arial" w:cs="Arial"/>
                          <w:sz w:val="24"/>
                        </w:rPr>
                        <w:t>you think should get the highest priority?</w:t>
                      </w:r>
                    </w:p>
                    <w:p w14:paraId="0C8ABF99" w14:textId="77777777" w:rsidR="0030774C" w:rsidRPr="00C42917" w:rsidRDefault="0030774C" w:rsidP="0030774C">
                      <w:pPr>
                        <w:pStyle w:val="ListParagraph"/>
                        <w:numPr>
                          <w:ilvl w:val="0"/>
                          <w:numId w:val="83"/>
                        </w:numPr>
                        <w:spacing w:before="120" w:after="120" w:line="240" w:lineRule="atLeast"/>
                        <w:contextualSpacing w:val="0"/>
                        <w:rPr>
                          <w:rFonts w:ascii="Arial" w:hAnsi="Arial" w:cs="Arial"/>
                          <w:sz w:val="24"/>
                        </w:rPr>
                      </w:pPr>
                      <w:r>
                        <w:rPr>
                          <w:rFonts w:ascii="Arial" w:hAnsi="Arial" w:cs="Arial"/>
                          <w:sz w:val="24"/>
                        </w:rPr>
                        <w:t>Are there any other focus areas you think we should consider?</w:t>
                      </w:r>
                    </w:p>
                    <w:p w14:paraId="41E4F6DF" w14:textId="77777777" w:rsidR="0030774C" w:rsidRPr="00C42917" w:rsidRDefault="0030774C" w:rsidP="0030774C">
                      <w:pPr>
                        <w:pStyle w:val="ListParagraph"/>
                        <w:numPr>
                          <w:ilvl w:val="0"/>
                          <w:numId w:val="83"/>
                        </w:numPr>
                        <w:spacing w:before="120" w:after="120" w:line="240" w:lineRule="atLeast"/>
                        <w:contextualSpacing w:val="0"/>
                        <w:rPr>
                          <w:rFonts w:ascii="Arial" w:hAnsi="Arial" w:cs="Arial"/>
                          <w:sz w:val="24"/>
                        </w:rPr>
                      </w:pPr>
                      <w:r w:rsidRPr="00C42917">
                        <w:rPr>
                          <w:rFonts w:ascii="Arial" w:hAnsi="Arial" w:cs="Arial"/>
                          <w:sz w:val="24"/>
                        </w:rPr>
                        <w:t>What do you see as the best opportunities to get better results for young people at risk of limited employment?</w:t>
                      </w:r>
                    </w:p>
                    <w:p w14:paraId="07DF9BE3" w14:textId="77777777" w:rsidR="0030774C" w:rsidRPr="00C42917" w:rsidRDefault="0030774C" w:rsidP="0030774C">
                      <w:pPr>
                        <w:pStyle w:val="ListParagraph"/>
                        <w:numPr>
                          <w:ilvl w:val="0"/>
                          <w:numId w:val="83"/>
                        </w:numPr>
                        <w:spacing w:before="120" w:after="120" w:line="240" w:lineRule="atLeast"/>
                        <w:contextualSpacing w:val="0"/>
                        <w:rPr>
                          <w:rFonts w:ascii="Arial" w:hAnsi="Arial" w:cs="Arial"/>
                          <w:sz w:val="24"/>
                        </w:rPr>
                      </w:pPr>
                      <w:r w:rsidRPr="00C42917">
                        <w:rPr>
                          <w:rFonts w:ascii="Arial" w:hAnsi="Arial" w:cs="Arial"/>
                          <w:sz w:val="24"/>
                        </w:rPr>
                        <w:t xml:space="preserve">Are there barriers we </w:t>
                      </w:r>
                      <w:r>
                        <w:rPr>
                          <w:rFonts w:ascii="Arial" w:hAnsi="Arial" w:cs="Arial"/>
                          <w:sz w:val="24"/>
                        </w:rPr>
                        <w:t>have not</w:t>
                      </w:r>
                      <w:r w:rsidRPr="00C42917">
                        <w:rPr>
                          <w:rFonts w:ascii="Arial" w:hAnsi="Arial" w:cs="Arial"/>
                          <w:sz w:val="24"/>
                        </w:rPr>
                        <w:t xml:space="preserve"> mentioned?</w:t>
                      </w:r>
                    </w:p>
                  </w:txbxContent>
                </v:textbox>
                <w10:anchorlock/>
              </v:shape>
            </w:pict>
          </mc:Fallback>
        </mc:AlternateContent>
      </w:r>
    </w:p>
    <w:bookmarkEnd w:id="8"/>
    <w:p w14:paraId="3FD08F16" w14:textId="5FD77D67" w:rsidR="006144FF" w:rsidRPr="00663C33" w:rsidRDefault="006144FF" w:rsidP="00663C33">
      <w:pPr>
        <w:pStyle w:val="Heading1"/>
        <w:rPr>
          <w:b/>
          <w:bCs/>
        </w:rPr>
      </w:pPr>
      <w:r w:rsidRPr="00663C33">
        <w:rPr>
          <w:b/>
          <w:bCs/>
        </w:rPr>
        <w:t>We have identified 3 focus areas based</w:t>
      </w:r>
      <w:r w:rsidR="005A4A4F">
        <w:rPr>
          <w:b/>
          <w:bCs/>
        </w:rPr>
        <w:t xml:space="preserve"> on</w:t>
      </w:r>
      <w:r w:rsidRPr="00663C33">
        <w:rPr>
          <w:b/>
          <w:bCs/>
        </w:rPr>
        <w:t xml:space="preserve"> </w:t>
      </w:r>
      <w:r w:rsidR="0030774C">
        <w:rPr>
          <w:b/>
          <w:bCs/>
        </w:rPr>
        <w:t>current evidence</w:t>
      </w:r>
      <w:r w:rsidR="00644C78" w:rsidRPr="00663C33">
        <w:rPr>
          <w:b/>
          <w:bCs/>
        </w:rPr>
        <w:t>:</w:t>
      </w:r>
    </w:p>
    <w:p w14:paraId="0ED73A5F" w14:textId="15474DE8" w:rsidR="002D37A4" w:rsidRPr="00963997" w:rsidRDefault="00D64131" w:rsidP="005D59CC">
      <w:pPr>
        <w:pStyle w:val="ListParagraph"/>
        <w:numPr>
          <w:ilvl w:val="0"/>
          <w:numId w:val="61"/>
        </w:numPr>
        <w:spacing w:before="120" w:after="120" w:line="240" w:lineRule="atLeast"/>
        <w:contextualSpacing w:val="0"/>
        <w:rPr>
          <w:rFonts w:ascii="Arial" w:hAnsi="Arial" w:cs="Arial"/>
          <w:sz w:val="24"/>
          <w:szCs w:val="24"/>
        </w:rPr>
      </w:pPr>
      <w:bookmarkStart w:id="9" w:name="_Hlk74917438"/>
      <w:r w:rsidRPr="00963997">
        <w:rPr>
          <w:rFonts w:ascii="Arial" w:hAnsi="Arial" w:cs="Arial"/>
          <w:sz w:val="24"/>
          <w:szCs w:val="24"/>
        </w:rPr>
        <w:t>Earlier support to p</w:t>
      </w:r>
      <w:r w:rsidR="002D37A4" w:rsidRPr="00963997">
        <w:rPr>
          <w:rFonts w:ascii="Arial" w:hAnsi="Arial" w:cs="Arial"/>
          <w:sz w:val="24"/>
          <w:szCs w:val="24"/>
        </w:rPr>
        <w:t xml:space="preserve">revent young people under 16 </w:t>
      </w:r>
      <w:r w:rsidR="00DC0C34" w:rsidRPr="00963997">
        <w:rPr>
          <w:rFonts w:ascii="Arial" w:hAnsi="Arial" w:cs="Arial"/>
          <w:sz w:val="24"/>
          <w:szCs w:val="24"/>
        </w:rPr>
        <w:t>years old</w:t>
      </w:r>
      <w:r w:rsidR="002D37A4" w:rsidRPr="00963997">
        <w:rPr>
          <w:rFonts w:ascii="Arial" w:hAnsi="Arial" w:cs="Arial"/>
          <w:sz w:val="24"/>
          <w:szCs w:val="24"/>
        </w:rPr>
        <w:t xml:space="preserve"> becoming at risk of limited employment</w:t>
      </w:r>
      <w:bookmarkEnd w:id="9"/>
      <w:r w:rsidR="002D37A4" w:rsidRPr="00963997">
        <w:rPr>
          <w:rFonts w:ascii="Arial" w:hAnsi="Arial" w:cs="Arial"/>
          <w:sz w:val="24"/>
          <w:szCs w:val="24"/>
        </w:rPr>
        <w:t>.</w:t>
      </w:r>
    </w:p>
    <w:p w14:paraId="71E70F3F" w14:textId="6B0F09EA" w:rsidR="002D37A4" w:rsidRPr="00963997" w:rsidRDefault="002D37A4" w:rsidP="005D59CC">
      <w:pPr>
        <w:pStyle w:val="ListParagraph"/>
        <w:numPr>
          <w:ilvl w:val="0"/>
          <w:numId w:val="61"/>
        </w:numPr>
        <w:spacing w:before="120" w:after="120" w:line="240" w:lineRule="atLeast"/>
        <w:contextualSpacing w:val="0"/>
        <w:rPr>
          <w:rFonts w:ascii="Arial" w:hAnsi="Arial" w:cs="Arial"/>
          <w:sz w:val="24"/>
          <w:szCs w:val="24"/>
        </w:rPr>
      </w:pPr>
      <w:r w:rsidRPr="00963997">
        <w:rPr>
          <w:rFonts w:ascii="Arial" w:hAnsi="Arial" w:cs="Arial"/>
          <w:sz w:val="24"/>
          <w:szCs w:val="24"/>
        </w:rPr>
        <w:t>Support</w:t>
      </w:r>
      <w:r w:rsidR="00D64131" w:rsidRPr="00963997">
        <w:rPr>
          <w:rFonts w:ascii="Arial" w:hAnsi="Arial" w:cs="Arial"/>
          <w:sz w:val="24"/>
          <w:szCs w:val="24"/>
        </w:rPr>
        <w:t xml:space="preserve"> and services for</w:t>
      </w:r>
      <w:r w:rsidRPr="00963997">
        <w:rPr>
          <w:rFonts w:ascii="Arial" w:hAnsi="Arial" w:cs="Arial"/>
          <w:sz w:val="24"/>
          <w:szCs w:val="24"/>
        </w:rPr>
        <w:t xml:space="preserve"> 16 to </w:t>
      </w:r>
      <w:proofErr w:type="gramStart"/>
      <w:r w:rsidRPr="00963997">
        <w:rPr>
          <w:rFonts w:ascii="Arial" w:hAnsi="Arial" w:cs="Arial"/>
          <w:sz w:val="24"/>
          <w:szCs w:val="24"/>
        </w:rPr>
        <w:t>24</w:t>
      </w:r>
      <w:r w:rsidR="00525D9D">
        <w:rPr>
          <w:rFonts w:ascii="Arial" w:hAnsi="Arial" w:cs="Arial"/>
          <w:sz w:val="24"/>
          <w:szCs w:val="24"/>
        </w:rPr>
        <w:t xml:space="preserve"> </w:t>
      </w:r>
      <w:r w:rsidRPr="00963997">
        <w:rPr>
          <w:rFonts w:ascii="Arial" w:hAnsi="Arial" w:cs="Arial"/>
          <w:sz w:val="24"/>
          <w:szCs w:val="24"/>
        </w:rPr>
        <w:t>year-olds</w:t>
      </w:r>
      <w:proofErr w:type="gramEnd"/>
      <w:r w:rsidRPr="00963997">
        <w:rPr>
          <w:rFonts w:ascii="Arial" w:hAnsi="Arial" w:cs="Arial"/>
          <w:sz w:val="24"/>
          <w:szCs w:val="24"/>
        </w:rPr>
        <w:t xml:space="preserve"> at risk of being in limited employment over the long</w:t>
      </w:r>
      <w:r w:rsidR="00A20761" w:rsidRPr="00963997">
        <w:rPr>
          <w:rFonts w:ascii="Arial" w:hAnsi="Arial" w:cs="Arial"/>
          <w:sz w:val="24"/>
          <w:szCs w:val="24"/>
        </w:rPr>
        <w:t xml:space="preserve"> </w:t>
      </w:r>
      <w:r w:rsidRPr="00963997">
        <w:rPr>
          <w:rFonts w:ascii="Arial" w:hAnsi="Arial" w:cs="Arial"/>
          <w:sz w:val="24"/>
          <w:szCs w:val="24"/>
        </w:rPr>
        <w:t>term</w:t>
      </w:r>
      <w:r w:rsidR="005178FE" w:rsidRPr="00963997">
        <w:rPr>
          <w:rFonts w:ascii="Arial" w:hAnsi="Arial" w:cs="Arial"/>
          <w:sz w:val="24"/>
          <w:szCs w:val="24"/>
        </w:rPr>
        <w:t>.</w:t>
      </w:r>
    </w:p>
    <w:p w14:paraId="4840E1B1" w14:textId="0D39469F" w:rsidR="002D37A4" w:rsidRPr="001444D4" w:rsidRDefault="005178FE" w:rsidP="005D59CC">
      <w:pPr>
        <w:pStyle w:val="ListParagraph"/>
        <w:numPr>
          <w:ilvl w:val="0"/>
          <w:numId w:val="61"/>
        </w:numPr>
        <w:spacing w:before="120" w:after="120" w:line="240" w:lineRule="atLeast"/>
        <w:contextualSpacing w:val="0"/>
        <w:rPr>
          <w:rFonts w:ascii="Arial" w:hAnsi="Arial" w:cs="Arial"/>
          <w:sz w:val="24"/>
          <w:szCs w:val="24"/>
        </w:rPr>
      </w:pPr>
      <w:r w:rsidRPr="00963997">
        <w:rPr>
          <w:rFonts w:ascii="Arial" w:hAnsi="Arial" w:cs="Arial"/>
          <w:sz w:val="24"/>
          <w:szCs w:val="24"/>
        </w:rPr>
        <w:t xml:space="preserve">Targeted support for </w:t>
      </w:r>
      <w:r w:rsidR="002D37A4" w:rsidRPr="00963997">
        <w:rPr>
          <w:rFonts w:ascii="Arial" w:hAnsi="Arial" w:cs="Arial"/>
          <w:sz w:val="24"/>
          <w:szCs w:val="24"/>
        </w:rPr>
        <w:t>groups</w:t>
      </w:r>
      <w:r w:rsidR="00D64131" w:rsidRPr="00963997">
        <w:rPr>
          <w:rFonts w:ascii="Arial" w:hAnsi="Arial" w:cs="Arial"/>
          <w:sz w:val="24"/>
          <w:szCs w:val="24"/>
        </w:rPr>
        <w:t xml:space="preserve"> who are</w:t>
      </w:r>
      <w:r w:rsidR="002D37A4" w:rsidRPr="00963997">
        <w:rPr>
          <w:rFonts w:ascii="Arial" w:hAnsi="Arial" w:cs="Arial"/>
          <w:sz w:val="24"/>
          <w:szCs w:val="24"/>
        </w:rPr>
        <w:t xml:space="preserve"> </w:t>
      </w:r>
      <w:r w:rsidR="00A20761" w:rsidRPr="00963997">
        <w:rPr>
          <w:rFonts w:ascii="Arial" w:hAnsi="Arial" w:cs="Arial"/>
          <w:sz w:val="24"/>
          <w:szCs w:val="24"/>
        </w:rPr>
        <w:t>most</w:t>
      </w:r>
      <w:r w:rsidR="002D37A4" w:rsidRPr="00963997">
        <w:rPr>
          <w:rFonts w:ascii="Arial" w:hAnsi="Arial" w:cs="Arial"/>
          <w:sz w:val="24"/>
          <w:szCs w:val="24"/>
        </w:rPr>
        <w:t xml:space="preserve"> at risk of limited employment</w:t>
      </w:r>
      <w:r w:rsidR="00D64131" w:rsidRPr="00963997">
        <w:rPr>
          <w:rFonts w:ascii="Arial" w:hAnsi="Arial" w:cs="Arial"/>
          <w:sz w:val="24"/>
          <w:szCs w:val="24"/>
        </w:rPr>
        <w:t>, including young disabled people, LGBTQIA+ youth, young parents, young Māori/Pacific people, as well as locations with high numbers or proportions of youth at high risk of limited employment.</w:t>
      </w:r>
    </w:p>
    <w:p w14:paraId="1C0F0737" w14:textId="1FF73844" w:rsidR="006144FF" w:rsidRPr="00963997" w:rsidRDefault="00644C78" w:rsidP="005D59CC">
      <w:pPr>
        <w:pStyle w:val="Heading2"/>
        <w:spacing w:before="120" w:after="120" w:line="240" w:lineRule="atLeast"/>
        <w:rPr>
          <w:rFonts w:ascii="Arial" w:hAnsi="Arial" w:cs="Arial"/>
        </w:rPr>
      </w:pPr>
      <w:r w:rsidRPr="00963997">
        <w:rPr>
          <w:rFonts w:ascii="Arial" w:hAnsi="Arial" w:cs="Arial"/>
        </w:rPr>
        <w:t xml:space="preserve">Focus 1: </w:t>
      </w:r>
      <w:r w:rsidR="00A20761" w:rsidRPr="00963997">
        <w:rPr>
          <w:rFonts w:ascii="Arial" w:hAnsi="Arial" w:cs="Arial"/>
        </w:rPr>
        <w:t>Y</w:t>
      </w:r>
      <w:r w:rsidR="003D5CC6" w:rsidRPr="00963997">
        <w:rPr>
          <w:rFonts w:ascii="Arial" w:hAnsi="Arial" w:cs="Arial"/>
        </w:rPr>
        <w:t xml:space="preserve">oung people </w:t>
      </w:r>
      <w:r w:rsidR="00A20761" w:rsidRPr="00963997">
        <w:rPr>
          <w:rFonts w:ascii="Arial" w:hAnsi="Arial" w:cs="Arial"/>
        </w:rPr>
        <w:t>under 16</w:t>
      </w:r>
      <w:r w:rsidR="00DC0C34" w:rsidRPr="00963997">
        <w:rPr>
          <w:rFonts w:ascii="Arial" w:hAnsi="Arial" w:cs="Arial"/>
        </w:rPr>
        <w:t xml:space="preserve"> years old</w:t>
      </w:r>
    </w:p>
    <w:p w14:paraId="07948F6B" w14:textId="1A4C8396" w:rsidR="006144FF" w:rsidRPr="004D05FD" w:rsidRDefault="006144FF" w:rsidP="005D59CC">
      <w:pPr>
        <w:pStyle w:val="Heading3"/>
        <w:spacing w:before="120" w:line="240" w:lineRule="atLeast"/>
        <w:rPr>
          <w:rStyle w:val="SubtleEmphasis"/>
          <w:rFonts w:ascii="Arial" w:hAnsi="Arial" w:cs="Arial"/>
          <w:i w:val="0"/>
          <w:iCs w:val="0"/>
          <w:color w:val="auto"/>
          <w:sz w:val="24"/>
        </w:rPr>
      </w:pPr>
      <w:r w:rsidRPr="004D05FD">
        <w:rPr>
          <w:rStyle w:val="SubtleEmphasis"/>
          <w:rFonts w:ascii="Arial" w:hAnsi="Arial" w:cs="Arial"/>
          <w:i w:val="0"/>
          <w:iCs w:val="0"/>
          <w:color w:val="auto"/>
          <w:sz w:val="24"/>
        </w:rPr>
        <w:t>Providing earlier support to address limited employment risk</w:t>
      </w:r>
      <w:r w:rsidR="00BC2AC4" w:rsidRPr="004D05FD">
        <w:rPr>
          <w:rStyle w:val="SubtleEmphasis"/>
          <w:rFonts w:ascii="Arial" w:hAnsi="Arial" w:cs="Arial"/>
          <w:i w:val="0"/>
          <w:iCs w:val="0"/>
          <w:color w:val="auto"/>
          <w:sz w:val="24"/>
        </w:rPr>
        <w:t>s</w:t>
      </w:r>
      <w:r w:rsidR="00DC0C34" w:rsidRPr="004D05FD">
        <w:rPr>
          <w:rStyle w:val="SubtleEmphasis"/>
          <w:rFonts w:ascii="Arial" w:hAnsi="Arial" w:cs="Arial"/>
          <w:i w:val="0"/>
          <w:iCs w:val="0"/>
          <w:color w:val="auto"/>
          <w:sz w:val="24"/>
        </w:rPr>
        <w:t xml:space="preserve"> including:</w:t>
      </w:r>
    </w:p>
    <w:p w14:paraId="694EA574" w14:textId="220214BB" w:rsidR="006144FF" w:rsidRPr="004D05FD" w:rsidRDefault="00BC2AC4" w:rsidP="005D59CC">
      <w:pPr>
        <w:pStyle w:val="ListParagraph"/>
        <w:numPr>
          <w:ilvl w:val="0"/>
          <w:numId w:val="29"/>
        </w:numPr>
        <w:spacing w:before="120" w:after="120" w:line="240" w:lineRule="atLeast"/>
        <w:contextualSpacing w:val="0"/>
        <w:rPr>
          <w:rFonts w:ascii="Arial" w:hAnsi="Arial" w:cs="Arial"/>
          <w:sz w:val="24"/>
          <w:szCs w:val="24"/>
        </w:rPr>
      </w:pPr>
      <w:r w:rsidRPr="004D05FD">
        <w:rPr>
          <w:rFonts w:ascii="Arial" w:hAnsi="Arial" w:cs="Arial"/>
          <w:sz w:val="24"/>
          <w:szCs w:val="24"/>
        </w:rPr>
        <w:t>a</w:t>
      </w:r>
      <w:r w:rsidR="006144FF" w:rsidRPr="004D05FD">
        <w:rPr>
          <w:rFonts w:ascii="Arial" w:hAnsi="Arial" w:cs="Arial"/>
          <w:sz w:val="24"/>
          <w:szCs w:val="24"/>
        </w:rPr>
        <w:t xml:space="preserve"> greater focus on preventative measures </w:t>
      </w:r>
      <w:r w:rsidR="00AE3D2A" w:rsidRPr="004D05FD">
        <w:rPr>
          <w:rFonts w:ascii="Arial" w:hAnsi="Arial" w:cs="Arial"/>
          <w:sz w:val="24"/>
          <w:szCs w:val="24"/>
        </w:rPr>
        <w:t>up to (and including)</w:t>
      </w:r>
      <w:r w:rsidR="006144FF" w:rsidRPr="004D05FD">
        <w:rPr>
          <w:rFonts w:ascii="Arial" w:hAnsi="Arial" w:cs="Arial"/>
          <w:sz w:val="24"/>
          <w:szCs w:val="24"/>
        </w:rPr>
        <w:t xml:space="preserve"> the age of 15, particularly when young people are</w:t>
      </w:r>
      <w:r w:rsidR="00DC0C34" w:rsidRPr="004D05FD">
        <w:rPr>
          <w:rFonts w:ascii="Arial" w:hAnsi="Arial" w:cs="Arial"/>
          <w:sz w:val="24"/>
          <w:szCs w:val="24"/>
        </w:rPr>
        <w:t xml:space="preserve"> still</w:t>
      </w:r>
      <w:r w:rsidR="006144FF" w:rsidRPr="004D05FD">
        <w:rPr>
          <w:rFonts w:ascii="Arial" w:hAnsi="Arial" w:cs="Arial"/>
          <w:sz w:val="24"/>
          <w:szCs w:val="24"/>
        </w:rPr>
        <w:t xml:space="preserve"> in school</w:t>
      </w:r>
    </w:p>
    <w:p w14:paraId="092E4C14" w14:textId="0AC80E82" w:rsidR="006144FF" w:rsidRPr="00963997" w:rsidRDefault="00BC2AC4" w:rsidP="005D59CC">
      <w:pPr>
        <w:pStyle w:val="ListParagraph"/>
        <w:numPr>
          <w:ilvl w:val="0"/>
          <w:numId w:val="15"/>
        </w:numPr>
        <w:spacing w:before="120" w:after="120" w:line="240" w:lineRule="atLeast"/>
        <w:contextualSpacing w:val="0"/>
        <w:rPr>
          <w:rFonts w:ascii="Arial" w:hAnsi="Arial" w:cs="Arial"/>
          <w:sz w:val="24"/>
          <w:szCs w:val="24"/>
        </w:rPr>
      </w:pPr>
      <w:r w:rsidRPr="004D05FD">
        <w:rPr>
          <w:rFonts w:ascii="Arial" w:hAnsi="Arial" w:cs="Arial"/>
          <w:sz w:val="24"/>
          <w:szCs w:val="24"/>
        </w:rPr>
        <w:t>s</w:t>
      </w:r>
      <w:r w:rsidR="006144FF" w:rsidRPr="004D05FD">
        <w:rPr>
          <w:rFonts w:ascii="Arial" w:hAnsi="Arial" w:cs="Arial"/>
          <w:sz w:val="24"/>
          <w:szCs w:val="24"/>
        </w:rPr>
        <w:t xml:space="preserve">upporting student </w:t>
      </w:r>
      <w:r w:rsidR="006144FF" w:rsidRPr="00963997">
        <w:rPr>
          <w:rFonts w:ascii="Arial" w:hAnsi="Arial" w:cs="Arial"/>
          <w:sz w:val="24"/>
          <w:szCs w:val="24"/>
        </w:rPr>
        <w:t>voice</w:t>
      </w:r>
      <w:r w:rsidR="00574C77" w:rsidRPr="00963997">
        <w:rPr>
          <w:rFonts w:ascii="Arial" w:hAnsi="Arial" w:cs="Arial"/>
          <w:sz w:val="24"/>
          <w:szCs w:val="24"/>
        </w:rPr>
        <w:t>s</w:t>
      </w:r>
      <w:r w:rsidR="0030774C">
        <w:rPr>
          <w:rFonts w:ascii="Arial" w:hAnsi="Arial" w:cs="Arial"/>
          <w:sz w:val="24"/>
          <w:szCs w:val="24"/>
        </w:rPr>
        <w:t xml:space="preserve"> and </w:t>
      </w:r>
      <w:r w:rsidR="006144FF" w:rsidRPr="00963997">
        <w:rPr>
          <w:rFonts w:ascii="Arial" w:hAnsi="Arial" w:cs="Arial"/>
          <w:sz w:val="24"/>
          <w:szCs w:val="24"/>
        </w:rPr>
        <w:t>improving attendance</w:t>
      </w:r>
      <w:r w:rsidR="0030774C">
        <w:rPr>
          <w:rFonts w:ascii="Arial" w:hAnsi="Arial" w:cs="Arial"/>
          <w:sz w:val="24"/>
          <w:szCs w:val="24"/>
        </w:rPr>
        <w:t xml:space="preserve">, </w:t>
      </w:r>
      <w:r w:rsidR="006144FF" w:rsidRPr="00963997">
        <w:rPr>
          <w:rFonts w:ascii="Arial" w:hAnsi="Arial" w:cs="Arial"/>
          <w:sz w:val="24"/>
          <w:szCs w:val="24"/>
        </w:rPr>
        <w:t>engagement and whānau connections</w:t>
      </w:r>
      <w:r w:rsidR="00574C77" w:rsidRPr="00963997">
        <w:rPr>
          <w:rFonts w:ascii="Arial" w:hAnsi="Arial" w:cs="Arial"/>
          <w:sz w:val="24"/>
          <w:szCs w:val="24"/>
        </w:rPr>
        <w:t xml:space="preserve"> so school is more inclusive for young people who may become at risk of limited employment</w:t>
      </w:r>
    </w:p>
    <w:p w14:paraId="5029552F" w14:textId="6B91787E" w:rsidR="006144FF" w:rsidRPr="00963997" w:rsidRDefault="00BC2AC4" w:rsidP="005D59CC">
      <w:pPr>
        <w:pStyle w:val="ListParagraph"/>
        <w:numPr>
          <w:ilvl w:val="0"/>
          <w:numId w:val="29"/>
        </w:numPr>
        <w:spacing w:before="120" w:after="120" w:line="240" w:lineRule="atLeast"/>
        <w:contextualSpacing w:val="0"/>
        <w:rPr>
          <w:rFonts w:ascii="Arial" w:hAnsi="Arial" w:cs="Arial"/>
          <w:sz w:val="24"/>
          <w:szCs w:val="24"/>
        </w:rPr>
      </w:pPr>
      <w:r w:rsidRPr="00963997">
        <w:rPr>
          <w:rFonts w:ascii="Arial" w:hAnsi="Arial" w:cs="Arial"/>
          <w:sz w:val="24"/>
          <w:szCs w:val="24"/>
        </w:rPr>
        <w:t>t</w:t>
      </w:r>
      <w:r w:rsidR="006144FF" w:rsidRPr="00963997">
        <w:rPr>
          <w:rFonts w:ascii="Arial" w:hAnsi="Arial" w:cs="Arial"/>
          <w:sz w:val="24"/>
          <w:szCs w:val="24"/>
        </w:rPr>
        <w:t xml:space="preserve">he </w:t>
      </w:r>
      <w:r w:rsidR="00DC0C34" w:rsidRPr="00963997">
        <w:rPr>
          <w:rFonts w:ascii="Arial" w:hAnsi="Arial" w:cs="Arial"/>
          <w:sz w:val="24"/>
          <w:szCs w:val="24"/>
        </w:rPr>
        <w:t xml:space="preserve">relevance of the </w:t>
      </w:r>
      <w:r w:rsidR="006144FF" w:rsidRPr="00963997">
        <w:rPr>
          <w:rFonts w:ascii="Arial" w:hAnsi="Arial" w:cs="Arial"/>
          <w:sz w:val="24"/>
          <w:szCs w:val="24"/>
        </w:rPr>
        <w:t xml:space="preserve">education pathway at secondary school, including a suitable curriculum and alternative education options and training so </w:t>
      </w:r>
      <w:r w:rsidR="00DC0C34" w:rsidRPr="00963997">
        <w:rPr>
          <w:rFonts w:ascii="Arial" w:hAnsi="Arial" w:cs="Arial"/>
          <w:sz w:val="24"/>
          <w:szCs w:val="24"/>
        </w:rPr>
        <w:t>young people</w:t>
      </w:r>
      <w:r w:rsidR="006144FF" w:rsidRPr="00963997">
        <w:rPr>
          <w:rFonts w:ascii="Arial" w:hAnsi="Arial" w:cs="Arial"/>
          <w:sz w:val="24"/>
          <w:szCs w:val="24"/>
        </w:rPr>
        <w:t xml:space="preserve"> gain the soft skills </w:t>
      </w:r>
      <w:r w:rsidR="00574C77" w:rsidRPr="00963997">
        <w:rPr>
          <w:rFonts w:ascii="Arial" w:hAnsi="Arial" w:cs="Arial"/>
          <w:sz w:val="24"/>
          <w:szCs w:val="24"/>
        </w:rPr>
        <w:t xml:space="preserve">they </w:t>
      </w:r>
      <w:r w:rsidR="00DC0C34" w:rsidRPr="00963997">
        <w:rPr>
          <w:rFonts w:ascii="Arial" w:hAnsi="Arial" w:cs="Arial"/>
          <w:sz w:val="24"/>
          <w:szCs w:val="24"/>
        </w:rPr>
        <w:t>need</w:t>
      </w:r>
      <w:r w:rsidR="006144FF" w:rsidRPr="00963997">
        <w:rPr>
          <w:rFonts w:ascii="Arial" w:hAnsi="Arial" w:cs="Arial"/>
          <w:sz w:val="24"/>
          <w:szCs w:val="24"/>
        </w:rPr>
        <w:t xml:space="preserve"> for employment</w:t>
      </w:r>
    </w:p>
    <w:p w14:paraId="5CB5D592" w14:textId="46C86BF7" w:rsidR="006144FF" w:rsidRPr="00963997" w:rsidRDefault="00BC2AC4" w:rsidP="005D59CC">
      <w:pPr>
        <w:pStyle w:val="ListParagraph"/>
        <w:numPr>
          <w:ilvl w:val="0"/>
          <w:numId w:val="29"/>
        </w:numPr>
        <w:spacing w:before="120" w:after="120" w:line="240" w:lineRule="atLeast"/>
        <w:contextualSpacing w:val="0"/>
        <w:rPr>
          <w:rFonts w:ascii="Arial" w:hAnsi="Arial" w:cs="Arial"/>
          <w:sz w:val="24"/>
          <w:szCs w:val="24"/>
        </w:rPr>
      </w:pPr>
      <w:r w:rsidRPr="00963997">
        <w:rPr>
          <w:rFonts w:ascii="Arial" w:hAnsi="Arial" w:cs="Arial"/>
          <w:sz w:val="24"/>
          <w:szCs w:val="24"/>
        </w:rPr>
        <w:t>s</w:t>
      </w:r>
      <w:r w:rsidR="006144FF" w:rsidRPr="00963997">
        <w:rPr>
          <w:rFonts w:ascii="Arial" w:hAnsi="Arial" w:cs="Arial"/>
          <w:sz w:val="24"/>
          <w:szCs w:val="24"/>
        </w:rPr>
        <w:t>tudents with learning support needs receiving appropriate support and services</w:t>
      </w:r>
    </w:p>
    <w:p w14:paraId="46CF38A7" w14:textId="11E2B5AE" w:rsidR="006144FF" w:rsidRPr="001444D4" w:rsidRDefault="00BC2AC4" w:rsidP="005D59CC">
      <w:pPr>
        <w:pStyle w:val="ListParagraph"/>
        <w:numPr>
          <w:ilvl w:val="0"/>
          <w:numId w:val="15"/>
        </w:numPr>
        <w:spacing w:before="120" w:after="120" w:line="240" w:lineRule="atLeast"/>
        <w:contextualSpacing w:val="0"/>
        <w:rPr>
          <w:rFonts w:ascii="Arial" w:hAnsi="Arial" w:cs="Arial"/>
          <w:sz w:val="24"/>
          <w:szCs w:val="24"/>
        </w:rPr>
      </w:pPr>
      <w:r w:rsidRPr="00963997">
        <w:rPr>
          <w:rFonts w:ascii="Arial" w:hAnsi="Arial" w:cs="Arial"/>
          <w:sz w:val="24"/>
          <w:szCs w:val="24"/>
        </w:rPr>
        <w:t>s</w:t>
      </w:r>
      <w:r w:rsidR="006144FF" w:rsidRPr="00963997">
        <w:rPr>
          <w:rFonts w:ascii="Arial" w:hAnsi="Arial" w:cs="Arial"/>
          <w:sz w:val="24"/>
          <w:szCs w:val="24"/>
        </w:rPr>
        <w:t>ystem shifts so Māori learners and their whānau enjoy success as Māori.</w:t>
      </w:r>
    </w:p>
    <w:p w14:paraId="16BD26C0" w14:textId="2B22D686" w:rsidR="006144FF" w:rsidRPr="00963997" w:rsidRDefault="00644C78" w:rsidP="005D59CC">
      <w:pPr>
        <w:pStyle w:val="Heading2"/>
        <w:spacing w:before="120" w:after="120" w:line="240" w:lineRule="atLeast"/>
        <w:rPr>
          <w:rFonts w:ascii="Arial" w:hAnsi="Arial" w:cs="Arial"/>
          <w:sz w:val="24"/>
          <w:szCs w:val="24"/>
          <w:lang w:val="en-NZ"/>
        </w:rPr>
      </w:pPr>
      <w:r w:rsidRPr="00963997">
        <w:rPr>
          <w:rFonts w:ascii="Arial" w:hAnsi="Arial" w:cs="Arial"/>
          <w:sz w:val="24"/>
          <w:szCs w:val="24"/>
          <w:lang w:val="en-NZ"/>
        </w:rPr>
        <w:lastRenderedPageBreak/>
        <w:t xml:space="preserve">Focus 2: </w:t>
      </w:r>
      <w:proofErr w:type="gramStart"/>
      <w:r w:rsidR="006144FF" w:rsidRPr="00963997">
        <w:rPr>
          <w:rFonts w:ascii="Arial" w:hAnsi="Arial" w:cs="Arial"/>
          <w:sz w:val="24"/>
          <w:szCs w:val="24"/>
          <w:lang w:val="en-NZ"/>
        </w:rPr>
        <w:t>16-24</w:t>
      </w:r>
      <w:r w:rsidR="00525D9D">
        <w:rPr>
          <w:rFonts w:ascii="Arial" w:hAnsi="Arial" w:cs="Arial"/>
          <w:sz w:val="24"/>
          <w:szCs w:val="24"/>
          <w:lang w:val="en-NZ"/>
        </w:rPr>
        <w:t xml:space="preserve"> </w:t>
      </w:r>
      <w:r w:rsidR="006144FF" w:rsidRPr="00963997">
        <w:rPr>
          <w:rFonts w:ascii="Arial" w:hAnsi="Arial" w:cs="Arial"/>
          <w:sz w:val="24"/>
          <w:szCs w:val="24"/>
          <w:lang w:val="en-NZ"/>
        </w:rPr>
        <w:t>year</w:t>
      </w:r>
      <w:r w:rsidR="00525D9D">
        <w:rPr>
          <w:rFonts w:ascii="Arial" w:hAnsi="Arial" w:cs="Arial"/>
          <w:sz w:val="24"/>
          <w:szCs w:val="24"/>
          <w:lang w:val="en-NZ"/>
        </w:rPr>
        <w:t>-</w:t>
      </w:r>
      <w:r w:rsidR="006144FF" w:rsidRPr="00963997">
        <w:rPr>
          <w:rFonts w:ascii="Arial" w:hAnsi="Arial" w:cs="Arial"/>
          <w:sz w:val="24"/>
          <w:szCs w:val="24"/>
          <w:lang w:val="en-NZ"/>
        </w:rPr>
        <w:t>olds</w:t>
      </w:r>
      <w:proofErr w:type="gramEnd"/>
      <w:r w:rsidR="006144FF" w:rsidRPr="00963997">
        <w:rPr>
          <w:rFonts w:ascii="Arial" w:hAnsi="Arial" w:cs="Arial"/>
          <w:sz w:val="24"/>
          <w:szCs w:val="24"/>
          <w:lang w:val="en-NZ"/>
        </w:rPr>
        <w:t xml:space="preserve"> at high</w:t>
      </w:r>
      <w:r w:rsidR="005178FE" w:rsidRPr="00963997">
        <w:rPr>
          <w:rFonts w:ascii="Arial" w:hAnsi="Arial" w:cs="Arial"/>
          <w:sz w:val="24"/>
          <w:szCs w:val="24"/>
          <w:lang w:val="en-NZ"/>
        </w:rPr>
        <w:t>er</w:t>
      </w:r>
      <w:r w:rsidR="006144FF" w:rsidRPr="00963997">
        <w:rPr>
          <w:rFonts w:ascii="Arial" w:hAnsi="Arial" w:cs="Arial"/>
          <w:sz w:val="24"/>
          <w:szCs w:val="24"/>
          <w:lang w:val="en-NZ"/>
        </w:rPr>
        <w:t xml:space="preserve"> risk </w:t>
      </w:r>
    </w:p>
    <w:p w14:paraId="7184638C" w14:textId="78227C4E" w:rsidR="006144FF" w:rsidRPr="004D05FD" w:rsidRDefault="006144FF" w:rsidP="005D59CC">
      <w:pPr>
        <w:pStyle w:val="Heading3"/>
        <w:spacing w:before="120" w:line="240" w:lineRule="atLeast"/>
        <w:rPr>
          <w:rStyle w:val="SubtleEmphasis"/>
          <w:rFonts w:ascii="Arial" w:hAnsi="Arial" w:cs="Arial"/>
          <w:i w:val="0"/>
          <w:iCs w:val="0"/>
          <w:color w:val="auto"/>
          <w:sz w:val="24"/>
        </w:rPr>
      </w:pPr>
      <w:r w:rsidRPr="004D05FD">
        <w:rPr>
          <w:rStyle w:val="SubtleEmphasis"/>
          <w:rFonts w:ascii="Arial" w:hAnsi="Arial" w:cs="Arial"/>
          <w:i w:val="0"/>
          <w:iCs w:val="0"/>
          <w:color w:val="auto"/>
          <w:sz w:val="24"/>
        </w:rPr>
        <w:t>Transitions support</w:t>
      </w:r>
      <w:r w:rsidR="00E00E6E" w:rsidRPr="004D05FD">
        <w:rPr>
          <w:rStyle w:val="SubtleEmphasis"/>
          <w:rFonts w:ascii="Arial" w:hAnsi="Arial" w:cs="Arial"/>
          <w:i w:val="0"/>
          <w:iCs w:val="0"/>
          <w:color w:val="auto"/>
          <w:sz w:val="24"/>
        </w:rPr>
        <w:t>s</w:t>
      </w:r>
      <w:r w:rsidRPr="004D05FD">
        <w:rPr>
          <w:rStyle w:val="SubtleEmphasis"/>
          <w:rFonts w:ascii="Arial" w:hAnsi="Arial" w:cs="Arial"/>
          <w:i w:val="0"/>
          <w:iCs w:val="0"/>
          <w:color w:val="auto"/>
          <w:sz w:val="24"/>
        </w:rPr>
        <w:t xml:space="preserve"> into employment</w:t>
      </w:r>
      <w:r w:rsidR="00DC0C34" w:rsidRPr="004D05FD">
        <w:rPr>
          <w:rStyle w:val="SubtleEmphasis"/>
          <w:rFonts w:ascii="Arial" w:hAnsi="Arial" w:cs="Arial"/>
          <w:i w:val="0"/>
          <w:iCs w:val="0"/>
          <w:color w:val="auto"/>
          <w:sz w:val="24"/>
        </w:rPr>
        <w:t xml:space="preserve"> including:</w:t>
      </w:r>
    </w:p>
    <w:p w14:paraId="7EEBDCDA" w14:textId="41608A9C" w:rsidR="006144FF" w:rsidRPr="004D05FD" w:rsidRDefault="00B20B6E" w:rsidP="005D59CC">
      <w:pPr>
        <w:pStyle w:val="ListParagraph"/>
        <w:numPr>
          <w:ilvl w:val="0"/>
          <w:numId w:val="8"/>
        </w:numPr>
        <w:spacing w:before="120" w:after="120" w:line="240" w:lineRule="atLeast"/>
        <w:ind w:left="714" w:hanging="357"/>
        <w:contextualSpacing w:val="0"/>
        <w:rPr>
          <w:rFonts w:ascii="Arial" w:hAnsi="Arial" w:cs="Arial"/>
          <w:sz w:val="24"/>
          <w:szCs w:val="24"/>
        </w:rPr>
      </w:pPr>
      <w:r w:rsidRPr="004D05FD">
        <w:rPr>
          <w:rFonts w:ascii="Arial" w:hAnsi="Arial" w:cs="Arial"/>
          <w:sz w:val="24"/>
          <w:szCs w:val="24"/>
        </w:rPr>
        <w:t>b</w:t>
      </w:r>
      <w:r w:rsidR="006144FF" w:rsidRPr="004D05FD">
        <w:rPr>
          <w:rFonts w:ascii="Arial" w:hAnsi="Arial" w:cs="Arial"/>
          <w:sz w:val="24"/>
          <w:szCs w:val="24"/>
        </w:rPr>
        <w:t xml:space="preserve">uilding intra-personal and soft skills </w:t>
      </w:r>
      <w:r w:rsidR="00DC0C34" w:rsidRPr="004D05FD">
        <w:rPr>
          <w:rFonts w:ascii="Arial" w:hAnsi="Arial" w:cs="Arial"/>
          <w:sz w:val="24"/>
          <w:szCs w:val="24"/>
        </w:rPr>
        <w:t>needed to succeed</w:t>
      </w:r>
      <w:r w:rsidR="006144FF" w:rsidRPr="004D05FD">
        <w:rPr>
          <w:rFonts w:ascii="Arial" w:hAnsi="Arial" w:cs="Arial"/>
          <w:sz w:val="24"/>
          <w:szCs w:val="24"/>
        </w:rPr>
        <w:t xml:space="preserve"> in </w:t>
      </w:r>
      <w:r w:rsidR="00DC0C34" w:rsidRPr="004D05FD">
        <w:rPr>
          <w:rFonts w:ascii="Arial" w:hAnsi="Arial" w:cs="Arial"/>
          <w:sz w:val="24"/>
          <w:szCs w:val="24"/>
        </w:rPr>
        <w:t>work</w:t>
      </w:r>
    </w:p>
    <w:p w14:paraId="3984A616" w14:textId="2FB25791" w:rsidR="006144FF" w:rsidRPr="00963997" w:rsidRDefault="00B20B6E" w:rsidP="005D59CC">
      <w:pPr>
        <w:pStyle w:val="ListParagraph"/>
        <w:numPr>
          <w:ilvl w:val="0"/>
          <w:numId w:val="8"/>
        </w:numPr>
        <w:spacing w:before="120" w:after="120" w:line="240" w:lineRule="atLeast"/>
        <w:ind w:left="714" w:hanging="357"/>
        <w:contextualSpacing w:val="0"/>
        <w:rPr>
          <w:rFonts w:ascii="Arial" w:hAnsi="Arial" w:cs="Arial"/>
          <w:sz w:val="24"/>
          <w:szCs w:val="24"/>
        </w:rPr>
      </w:pPr>
      <w:r w:rsidRPr="004D05FD">
        <w:rPr>
          <w:rFonts w:ascii="Arial" w:hAnsi="Arial" w:cs="Arial"/>
          <w:sz w:val="24"/>
          <w:szCs w:val="24"/>
        </w:rPr>
        <w:t>c</w:t>
      </w:r>
      <w:r w:rsidR="006144FF" w:rsidRPr="004D05FD">
        <w:rPr>
          <w:rFonts w:ascii="Arial" w:hAnsi="Arial" w:cs="Arial"/>
          <w:sz w:val="24"/>
          <w:szCs w:val="24"/>
        </w:rPr>
        <w:t>lear</w:t>
      </w:r>
      <w:r w:rsidR="00DC0C34" w:rsidRPr="004D05FD">
        <w:rPr>
          <w:rFonts w:ascii="Arial" w:hAnsi="Arial" w:cs="Arial"/>
          <w:sz w:val="24"/>
          <w:szCs w:val="24"/>
        </w:rPr>
        <w:t>,</w:t>
      </w:r>
      <w:r w:rsidR="006144FF" w:rsidRPr="004D05FD">
        <w:rPr>
          <w:rFonts w:ascii="Arial" w:hAnsi="Arial" w:cs="Arial"/>
          <w:sz w:val="24"/>
          <w:szCs w:val="24"/>
        </w:rPr>
        <w:t xml:space="preserve"> </w:t>
      </w:r>
      <w:r w:rsidR="006144FF" w:rsidRPr="00963997">
        <w:rPr>
          <w:rFonts w:ascii="Arial" w:hAnsi="Arial" w:cs="Arial"/>
          <w:sz w:val="24"/>
          <w:szCs w:val="24"/>
        </w:rPr>
        <w:t xml:space="preserve">supported pathways through secondary school into vocational education and </w:t>
      </w:r>
      <w:r w:rsidR="00DC0C34" w:rsidRPr="00963997">
        <w:rPr>
          <w:rFonts w:ascii="Arial" w:hAnsi="Arial" w:cs="Arial"/>
          <w:sz w:val="24"/>
          <w:szCs w:val="24"/>
        </w:rPr>
        <w:t>work</w:t>
      </w:r>
    </w:p>
    <w:p w14:paraId="30E45C74" w14:textId="67D627CC" w:rsidR="006144FF" w:rsidRPr="00963997" w:rsidRDefault="00B20B6E" w:rsidP="005D59CC">
      <w:pPr>
        <w:pStyle w:val="ListParagraph"/>
        <w:numPr>
          <w:ilvl w:val="0"/>
          <w:numId w:val="8"/>
        </w:numPr>
        <w:spacing w:before="120" w:after="120" w:line="240" w:lineRule="atLeast"/>
        <w:ind w:left="714" w:hanging="357"/>
        <w:contextualSpacing w:val="0"/>
        <w:rPr>
          <w:rFonts w:ascii="Arial" w:hAnsi="Arial" w:cs="Arial"/>
          <w:sz w:val="24"/>
          <w:szCs w:val="24"/>
        </w:rPr>
      </w:pPr>
      <w:r w:rsidRPr="00963997">
        <w:rPr>
          <w:rFonts w:ascii="Arial" w:hAnsi="Arial" w:cs="Arial"/>
          <w:sz w:val="24"/>
          <w:szCs w:val="24"/>
        </w:rPr>
        <w:t>r</w:t>
      </w:r>
      <w:r w:rsidR="006144FF" w:rsidRPr="00963997">
        <w:rPr>
          <w:rFonts w:ascii="Arial" w:hAnsi="Arial" w:cs="Arial"/>
          <w:sz w:val="24"/>
          <w:szCs w:val="24"/>
        </w:rPr>
        <w:t>elevant and timely careers support so young people can make informed and robust decisions on the next phase of their life</w:t>
      </w:r>
    </w:p>
    <w:p w14:paraId="43BBAC67" w14:textId="1DC199F3" w:rsidR="006144FF" w:rsidRPr="00963997" w:rsidRDefault="00B20B6E" w:rsidP="005D59CC">
      <w:pPr>
        <w:pStyle w:val="ListParagraph"/>
        <w:numPr>
          <w:ilvl w:val="0"/>
          <w:numId w:val="8"/>
        </w:numPr>
        <w:spacing w:before="120" w:after="120" w:line="240" w:lineRule="atLeast"/>
        <w:ind w:left="714" w:hanging="357"/>
        <w:contextualSpacing w:val="0"/>
        <w:rPr>
          <w:rFonts w:ascii="Arial" w:hAnsi="Arial" w:cs="Arial"/>
          <w:sz w:val="24"/>
          <w:szCs w:val="24"/>
        </w:rPr>
      </w:pPr>
      <w:r w:rsidRPr="00963997">
        <w:rPr>
          <w:rFonts w:ascii="Arial" w:hAnsi="Arial" w:cs="Arial"/>
          <w:sz w:val="24"/>
          <w:szCs w:val="24"/>
        </w:rPr>
        <w:t>c</w:t>
      </w:r>
      <w:r w:rsidR="006144FF" w:rsidRPr="00963997">
        <w:rPr>
          <w:rFonts w:ascii="Arial" w:hAnsi="Arial" w:cs="Arial"/>
          <w:sz w:val="24"/>
          <w:szCs w:val="24"/>
        </w:rPr>
        <w:t>onsidering the role employers play in supporting transitions</w:t>
      </w:r>
    </w:p>
    <w:p w14:paraId="11D1B23A" w14:textId="273BB4C7" w:rsidR="006144FF" w:rsidRPr="00963997" w:rsidRDefault="00B20B6E" w:rsidP="005D59CC">
      <w:pPr>
        <w:pStyle w:val="ListParagraph"/>
        <w:numPr>
          <w:ilvl w:val="0"/>
          <w:numId w:val="8"/>
        </w:numPr>
        <w:spacing w:before="120" w:after="120" w:line="240" w:lineRule="atLeast"/>
        <w:ind w:left="714" w:hanging="357"/>
        <w:contextualSpacing w:val="0"/>
        <w:rPr>
          <w:rFonts w:ascii="Arial" w:hAnsi="Arial" w:cs="Arial"/>
          <w:sz w:val="24"/>
          <w:szCs w:val="24"/>
        </w:rPr>
      </w:pPr>
      <w:r w:rsidRPr="00963997">
        <w:rPr>
          <w:rFonts w:ascii="Arial" w:hAnsi="Arial" w:cs="Arial"/>
          <w:sz w:val="24"/>
          <w:szCs w:val="24"/>
        </w:rPr>
        <w:t>a</w:t>
      </w:r>
      <w:r w:rsidR="006144FF" w:rsidRPr="00963997">
        <w:rPr>
          <w:rFonts w:ascii="Arial" w:hAnsi="Arial" w:cs="Arial"/>
          <w:sz w:val="24"/>
          <w:szCs w:val="24"/>
        </w:rPr>
        <w:t xml:space="preserve">ddressing barriers to upskilling in the workplace including options </w:t>
      </w:r>
      <w:r w:rsidR="00574C77" w:rsidRPr="00963997">
        <w:rPr>
          <w:rFonts w:ascii="Arial" w:hAnsi="Arial" w:cs="Arial"/>
          <w:sz w:val="24"/>
          <w:szCs w:val="24"/>
        </w:rPr>
        <w:t xml:space="preserve">for youth </w:t>
      </w:r>
      <w:r w:rsidR="006144FF" w:rsidRPr="00963997">
        <w:rPr>
          <w:rFonts w:ascii="Arial" w:hAnsi="Arial" w:cs="Arial"/>
          <w:sz w:val="24"/>
          <w:szCs w:val="24"/>
        </w:rPr>
        <w:t xml:space="preserve">outside formal education and training </w:t>
      </w:r>
      <w:r w:rsidR="00574C77" w:rsidRPr="00963997">
        <w:rPr>
          <w:rFonts w:ascii="Arial" w:hAnsi="Arial" w:cs="Arial"/>
          <w:sz w:val="24"/>
          <w:szCs w:val="24"/>
        </w:rPr>
        <w:t>to</w:t>
      </w:r>
      <w:r w:rsidR="006144FF" w:rsidRPr="00963997">
        <w:rPr>
          <w:rFonts w:ascii="Arial" w:hAnsi="Arial" w:cs="Arial"/>
          <w:sz w:val="24"/>
          <w:szCs w:val="24"/>
        </w:rPr>
        <w:t xml:space="preserve"> build skills through work experience</w:t>
      </w:r>
      <w:r w:rsidR="00574C77" w:rsidRPr="00963997">
        <w:rPr>
          <w:rFonts w:ascii="Arial" w:hAnsi="Arial" w:cs="Arial"/>
          <w:sz w:val="24"/>
          <w:szCs w:val="24"/>
        </w:rPr>
        <w:t>,</w:t>
      </w:r>
      <w:r w:rsidR="006144FF" w:rsidRPr="00963997">
        <w:rPr>
          <w:rFonts w:ascii="Arial" w:hAnsi="Arial" w:cs="Arial"/>
          <w:sz w:val="24"/>
          <w:szCs w:val="24"/>
        </w:rPr>
        <w:t xml:space="preserve"> with suppor</w:t>
      </w:r>
      <w:r w:rsidR="00574C77" w:rsidRPr="00963997">
        <w:rPr>
          <w:rFonts w:ascii="Arial" w:hAnsi="Arial" w:cs="Arial"/>
          <w:sz w:val="24"/>
          <w:szCs w:val="24"/>
        </w:rPr>
        <w:t>t</w:t>
      </w:r>
      <w:r w:rsidR="006144FF" w:rsidRPr="00963997">
        <w:rPr>
          <w:rFonts w:ascii="Arial" w:hAnsi="Arial" w:cs="Arial"/>
          <w:sz w:val="24"/>
          <w:szCs w:val="24"/>
        </w:rPr>
        <w:t xml:space="preserve">s </w:t>
      </w:r>
      <w:r w:rsidR="00574C77" w:rsidRPr="00963997">
        <w:rPr>
          <w:rFonts w:ascii="Arial" w:hAnsi="Arial" w:cs="Arial"/>
          <w:sz w:val="24"/>
          <w:szCs w:val="24"/>
        </w:rPr>
        <w:t xml:space="preserve">to </w:t>
      </w:r>
      <w:r w:rsidR="006144FF" w:rsidRPr="00963997">
        <w:rPr>
          <w:rFonts w:ascii="Arial" w:hAnsi="Arial" w:cs="Arial"/>
          <w:sz w:val="24"/>
          <w:szCs w:val="24"/>
        </w:rPr>
        <w:t>transition.</w:t>
      </w:r>
    </w:p>
    <w:p w14:paraId="34AF2780" w14:textId="2103F56C" w:rsidR="006144FF" w:rsidRPr="004D05FD" w:rsidRDefault="006144FF" w:rsidP="005D59CC">
      <w:pPr>
        <w:pStyle w:val="Heading3"/>
        <w:spacing w:before="120" w:line="240" w:lineRule="atLeast"/>
        <w:rPr>
          <w:rStyle w:val="SubtleEmphasis"/>
          <w:rFonts w:ascii="Arial" w:hAnsi="Arial" w:cs="Arial"/>
          <w:i w:val="0"/>
          <w:iCs w:val="0"/>
          <w:color w:val="auto"/>
          <w:sz w:val="24"/>
        </w:rPr>
      </w:pPr>
      <w:r w:rsidRPr="004D05FD">
        <w:rPr>
          <w:rStyle w:val="SubtleEmphasis"/>
          <w:rFonts w:ascii="Arial" w:hAnsi="Arial" w:cs="Arial"/>
          <w:i w:val="0"/>
          <w:iCs w:val="0"/>
          <w:color w:val="auto"/>
          <w:sz w:val="24"/>
        </w:rPr>
        <w:t>Refining service delivery</w:t>
      </w:r>
      <w:r w:rsidR="00E00E6E" w:rsidRPr="004D05FD">
        <w:rPr>
          <w:rStyle w:val="SubtleEmphasis"/>
          <w:rFonts w:ascii="Arial" w:hAnsi="Arial" w:cs="Arial"/>
          <w:i w:val="0"/>
          <w:iCs w:val="0"/>
          <w:color w:val="auto"/>
          <w:sz w:val="24"/>
        </w:rPr>
        <w:t xml:space="preserve"> </w:t>
      </w:r>
      <w:r w:rsidR="005D33B2" w:rsidRPr="004D05FD">
        <w:rPr>
          <w:rStyle w:val="SubtleEmphasis"/>
          <w:rFonts w:ascii="Arial" w:hAnsi="Arial" w:cs="Arial"/>
          <w:i w:val="0"/>
          <w:iCs w:val="0"/>
          <w:color w:val="auto"/>
          <w:sz w:val="24"/>
        </w:rPr>
        <w:t xml:space="preserve">for youth at risk of limited employment, </w:t>
      </w:r>
      <w:r w:rsidR="00E00E6E" w:rsidRPr="004D05FD">
        <w:rPr>
          <w:rStyle w:val="SubtleEmphasis"/>
          <w:rFonts w:ascii="Arial" w:hAnsi="Arial" w:cs="Arial"/>
          <w:i w:val="0"/>
          <w:iCs w:val="0"/>
          <w:color w:val="auto"/>
          <w:sz w:val="24"/>
        </w:rPr>
        <w:t>including:</w:t>
      </w:r>
    </w:p>
    <w:p w14:paraId="3E8B1777" w14:textId="7A051265" w:rsidR="006144FF" w:rsidRPr="00963997" w:rsidRDefault="00B20B6E" w:rsidP="005D59CC">
      <w:pPr>
        <w:pStyle w:val="ListParagraph"/>
        <w:numPr>
          <w:ilvl w:val="0"/>
          <w:numId w:val="8"/>
        </w:numPr>
        <w:spacing w:before="120" w:after="120" w:line="240" w:lineRule="atLeast"/>
        <w:contextualSpacing w:val="0"/>
        <w:rPr>
          <w:rFonts w:ascii="Arial" w:hAnsi="Arial" w:cs="Arial"/>
          <w:sz w:val="24"/>
          <w:szCs w:val="24"/>
        </w:rPr>
      </w:pPr>
      <w:r w:rsidRPr="004D05FD">
        <w:rPr>
          <w:rFonts w:ascii="Arial" w:hAnsi="Arial" w:cs="Arial"/>
          <w:sz w:val="24"/>
          <w:szCs w:val="24"/>
        </w:rPr>
        <w:t>e</w:t>
      </w:r>
      <w:r w:rsidR="006144FF" w:rsidRPr="004D05FD">
        <w:rPr>
          <w:rFonts w:ascii="Arial" w:hAnsi="Arial" w:cs="Arial"/>
          <w:sz w:val="24"/>
          <w:szCs w:val="24"/>
        </w:rPr>
        <w:t>mployment support to access the labour market</w:t>
      </w:r>
      <w:r w:rsidR="008650F4" w:rsidRPr="004D05FD">
        <w:rPr>
          <w:rFonts w:ascii="Arial" w:hAnsi="Arial" w:cs="Arial"/>
          <w:sz w:val="24"/>
          <w:szCs w:val="24"/>
        </w:rPr>
        <w:t xml:space="preserve"> and </w:t>
      </w:r>
      <w:r w:rsidR="006144FF" w:rsidRPr="004D05FD">
        <w:rPr>
          <w:rFonts w:ascii="Arial" w:hAnsi="Arial" w:cs="Arial"/>
          <w:sz w:val="24"/>
          <w:szCs w:val="24"/>
        </w:rPr>
        <w:t>address</w:t>
      </w:r>
      <w:r w:rsidR="00574C77" w:rsidRPr="004D05FD">
        <w:rPr>
          <w:rFonts w:ascii="Arial" w:hAnsi="Arial" w:cs="Arial"/>
          <w:sz w:val="24"/>
          <w:szCs w:val="24"/>
        </w:rPr>
        <w:t>ing</w:t>
      </w:r>
      <w:r w:rsidR="006144FF" w:rsidRPr="004D05FD">
        <w:rPr>
          <w:rFonts w:ascii="Arial" w:hAnsi="Arial" w:cs="Arial"/>
          <w:sz w:val="24"/>
          <w:szCs w:val="24"/>
        </w:rPr>
        <w:t xml:space="preserve"> the known risk factors that </w:t>
      </w:r>
      <w:r w:rsidR="006144FF" w:rsidRPr="00963997">
        <w:rPr>
          <w:rFonts w:ascii="Arial" w:hAnsi="Arial" w:cs="Arial"/>
          <w:sz w:val="24"/>
          <w:szCs w:val="24"/>
        </w:rPr>
        <w:t>cut across government agency responsibilities</w:t>
      </w:r>
    </w:p>
    <w:p w14:paraId="79101262" w14:textId="1E8A9AE5" w:rsidR="006144FF" w:rsidRPr="001444D4" w:rsidRDefault="00B20B6E" w:rsidP="005D59CC">
      <w:pPr>
        <w:pStyle w:val="ListParagraph"/>
        <w:numPr>
          <w:ilvl w:val="0"/>
          <w:numId w:val="8"/>
        </w:numPr>
        <w:spacing w:before="120" w:after="120" w:line="240" w:lineRule="atLeast"/>
        <w:contextualSpacing w:val="0"/>
        <w:rPr>
          <w:rFonts w:ascii="Arial" w:hAnsi="Arial" w:cs="Arial"/>
          <w:bCs/>
          <w:sz w:val="24"/>
          <w:szCs w:val="24"/>
        </w:rPr>
      </w:pPr>
      <w:r w:rsidRPr="00963997">
        <w:rPr>
          <w:rFonts w:ascii="Arial" w:hAnsi="Arial" w:cs="Arial"/>
          <w:bCs/>
          <w:sz w:val="24"/>
          <w:szCs w:val="24"/>
        </w:rPr>
        <w:t>i</w:t>
      </w:r>
      <w:r w:rsidR="006144FF" w:rsidRPr="00963997">
        <w:rPr>
          <w:rFonts w:ascii="Arial" w:hAnsi="Arial" w:cs="Arial"/>
          <w:bCs/>
          <w:sz w:val="24"/>
          <w:szCs w:val="24"/>
        </w:rPr>
        <w:t>nvestigating or expanding ways of delivering services and supports that</w:t>
      </w:r>
      <w:r w:rsidR="00E00E6E" w:rsidRPr="00963997">
        <w:rPr>
          <w:rFonts w:ascii="Arial" w:hAnsi="Arial" w:cs="Arial"/>
          <w:bCs/>
          <w:sz w:val="24"/>
          <w:szCs w:val="24"/>
        </w:rPr>
        <w:t xml:space="preserve"> </w:t>
      </w:r>
      <w:r w:rsidR="006144FF" w:rsidRPr="00963997">
        <w:rPr>
          <w:rFonts w:ascii="Arial" w:hAnsi="Arial" w:cs="Arial"/>
          <w:bCs/>
          <w:sz w:val="24"/>
          <w:szCs w:val="24"/>
        </w:rPr>
        <w:t>target and engage people more effectively</w:t>
      </w:r>
      <w:r w:rsidR="008650F4">
        <w:rPr>
          <w:rFonts w:ascii="Arial" w:hAnsi="Arial" w:cs="Arial"/>
          <w:bCs/>
          <w:sz w:val="24"/>
          <w:szCs w:val="24"/>
        </w:rPr>
        <w:t>; f</w:t>
      </w:r>
      <w:r w:rsidR="00E00E6E" w:rsidRPr="00963997">
        <w:rPr>
          <w:rFonts w:ascii="Arial" w:hAnsi="Arial" w:cs="Arial"/>
          <w:bCs/>
          <w:sz w:val="24"/>
          <w:szCs w:val="24"/>
        </w:rPr>
        <w:t>or example,</w:t>
      </w:r>
      <w:r w:rsidR="006144FF" w:rsidRPr="00963997">
        <w:rPr>
          <w:rFonts w:ascii="Arial" w:hAnsi="Arial" w:cs="Arial"/>
          <w:bCs/>
          <w:sz w:val="24"/>
          <w:szCs w:val="24"/>
        </w:rPr>
        <w:t xml:space="preserve"> services designed and led by the community and/or iwi or </w:t>
      </w:r>
      <w:proofErr w:type="spellStart"/>
      <w:r w:rsidR="006144FF" w:rsidRPr="00963997">
        <w:rPr>
          <w:rFonts w:ascii="Arial" w:hAnsi="Arial" w:cs="Arial"/>
          <w:bCs/>
          <w:sz w:val="24"/>
          <w:szCs w:val="24"/>
        </w:rPr>
        <w:t>hapū</w:t>
      </w:r>
      <w:proofErr w:type="spellEnd"/>
      <w:r w:rsidR="006144FF" w:rsidRPr="00963997">
        <w:rPr>
          <w:rFonts w:ascii="Arial" w:hAnsi="Arial" w:cs="Arial"/>
          <w:bCs/>
          <w:sz w:val="24"/>
          <w:szCs w:val="24"/>
        </w:rPr>
        <w:t xml:space="preserve">, and </w:t>
      </w:r>
      <w:r w:rsidR="00E00E6E" w:rsidRPr="00963997">
        <w:rPr>
          <w:rFonts w:ascii="Arial" w:hAnsi="Arial" w:cs="Arial"/>
          <w:bCs/>
          <w:sz w:val="24"/>
          <w:szCs w:val="24"/>
        </w:rPr>
        <w:t>p</w:t>
      </w:r>
      <w:r w:rsidR="006144FF" w:rsidRPr="00963997">
        <w:rPr>
          <w:rFonts w:ascii="Arial" w:hAnsi="Arial" w:cs="Arial"/>
          <w:bCs/>
          <w:sz w:val="24"/>
          <w:szCs w:val="24"/>
        </w:rPr>
        <w:t>lace</w:t>
      </w:r>
      <w:r w:rsidR="00E00E6E" w:rsidRPr="00963997">
        <w:rPr>
          <w:rFonts w:ascii="Arial" w:hAnsi="Arial" w:cs="Arial"/>
          <w:bCs/>
          <w:sz w:val="24"/>
          <w:szCs w:val="24"/>
        </w:rPr>
        <w:t>-b</w:t>
      </w:r>
      <w:r w:rsidR="006144FF" w:rsidRPr="00963997">
        <w:rPr>
          <w:rFonts w:ascii="Arial" w:hAnsi="Arial" w:cs="Arial"/>
          <w:bCs/>
          <w:sz w:val="24"/>
          <w:szCs w:val="24"/>
        </w:rPr>
        <w:t xml:space="preserve">ased </w:t>
      </w:r>
      <w:r w:rsidR="00E00E6E" w:rsidRPr="00963997">
        <w:rPr>
          <w:rFonts w:ascii="Arial" w:hAnsi="Arial" w:cs="Arial"/>
          <w:bCs/>
          <w:sz w:val="24"/>
          <w:szCs w:val="24"/>
        </w:rPr>
        <w:t>i</w:t>
      </w:r>
      <w:r w:rsidR="006144FF" w:rsidRPr="00963997">
        <w:rPr>
          <w:rFonts w:ascii="Arial" w:hAnsi="Arial" w:cs="Arial"/>
          <w:bCs/>
          <w:sz w:val="24"/>
          <w:szCs w:val="24"/>
        </w:rPr>
        <w:t>nitiatives.</w:t>
      </w:r>
    </w:p>
    <w:p w14:paraId="789E37DA" w14:textId="30939C4E" w:rsidR="006144FF" w:rsidRPr="00963997" w:rsidRDefault="00644C78" w:rsidP="005D59CC">
      <w:pPr>
        <w:pStyle w:val="Heading2"/>
        <w:spacing w:before="120" w:after="120" w:line="240" w:lineRule="atLeast"/>
        <w:rPr>
          <w:rFonts w:ascii="Arial" w:hAnsi="Arial" w:cs="Arial"/>
          <w:sz w:val="24"/>
          <w:szCs w:val="24"/>
          <w:lang w:val="en-NZ"/>
        </w:rPr>
      </w:pPr>
      <w:r w:rsidRPr="00963997">
        <w:rPr>
          <w:rFonts w:ascii="Arial" w:hAnsi="Arial" w:cs="Arial"/>
          <w:sz w:val="24"/>
          <w:szCs w:val="24"/>
          <w:lang w:val="en-NZ"/>
        </w:rPr>
        <w:t xml:space="preserve">Focus 3: </w:t>
      </w:r>
      <w:r w:rsidR="00BC2AC4" w:rsidRPr="00963997">
        <w:rPr>
          <w:rFonts w:ascii="Arial" w:hAnsi="Arial" w:cs="Arial"/>
          <w:sz w:val="24"/>
          <w:szCs w:val="24"/>
          <w:lang w:val="en-NZ"/>
        </w:rPr>
        <w:t>Population groups that are most at-risk</w:t>
      </w:r>
      <w:r w:rsidR="005178FE" w:rsidRPr="00963997">
        <w:rPr>
          <w:rFonts w:ascii="Arial" w:hAnsi="Arial" w:cs="Arial"/>
          <w:sz w:val="24"/>
          <w:szCs w:val="24"/>
          <w:lang w:val="en-NZ"/>
        </w:rPr>
        <w:t xml:space="preserve"> </w:t>
      </w:r>
    </w:p>
    <w:p w14:paraId="68D1A8F1" w14:textId="210263EE" w:rsidR="006144FF" w:rsidRPr="004D05FD" w:rsidRDefault="006144FF" w:rsidP="005D59CC">
      <w:pPr>
        <w:pStyle w:val="Heading3"/>
        <w:spacing w:before="120" w:line="240" w:lineRule="atLeast"/>
        <w:rPr>
          <w:rStyle w:val="SubtleEmphasis"/>
          <w:rFonts w:ascii="Arial" w:hAnsi="Arial" w:cs="Arial"/>
          <w:i w:val="0"/>
          <w:iCs w:val="0"/>
          <w:color w:val="auto"/>
          <w:sz w:val="24"/>
        </w:rPr>
      </w:pPr>
      <w:r w:rsidRPr="004D05FD">
        <w:rPr>
          <w:rStyle w:val="SubtleEmphasis"/>
          <w:rFonts w:ascii="Arial" w:hAnsi="Arial" w:cs="Arial"/>
          <w:i w:val="0"/>
          <w:iCs w:val="0"/>
          <w:color w:val="auto"/>
          <w:sz w:val="24"/>
        </w:rPr>
        <w:t>Interventions and support targeted at specific population groups/regions</w:t>
      </w:r>
      <w:r w:rsidR="00E00E6E" w:rsidRPr="004D05FD">
        <w:rPr>
          <w:rStyle w:val="SubtleEmphasis"/>
          <w:rFonts w:ascii="Arial" w:hAnsi="Arial" w:cs="Arial"/>
          <w:i w:val="0"/>
          <w:iCs w:val="0"/>
          <w:color w:val="auto"/>
          <w:sz w:val="24"/>
        </w:rPr>
        <w:t xml:space="preserve"> including:</w:t>
      </w:r>
    </w:p>
    <w:p w14:paraId="4E4B2467" w14:textId="447709E7" w:rsidR="006144FF" w:rsidRPr="00963997" w:rsidRDefault="00B20B6E" w:rsidP="005D59CC">
      <w:pPr>
        <w:pStyle w:val="ListParagraph"/>
        <w:numPr>
          <w:ilvl w:val="0"/>
          <w:numId w:val="8"/>
        </w:numPr>
        <w:spacing w:before="120" w:after="120" w:line="240" w:lineRule="atLeast"/>
        <w:contextualSpacing w:val="0"/>
        <w:rPr>
          <w:rFonts w:ascii="Arial" w:hAnsi="Arial" w:cs="Arial"/>
          <w:sz w:val="24"/>
          <w:szCs w:val="24"/>
        </w:rPr>
      </w:pPr>
      <w:r w:rsidRPr="004D05FD">
        <w:rPr>
          <w:rFonts w:ascii="Arial" w:hAnsi="Arial" w:cs="Arial"/>
          <w:sz w:val="24"/>
          <w:szCs w:val="24"/>
        </w:rPr>
        <w:t>y</w:t>
      </w:r>
      <w:r w:rsidR="006144FF" w:rsidRPr="004D05FD">
        <w:rPr>
          <w:rFonts w:ascii="Arial" w:hAnsi="Arial" w:cs="Arial"/>
          <w:sz w:val="24"/>
          <w:szCs w:val="24"/>
        </w:rPr>
        <w:t>oung people with a disability (48.2</w:t>
      </w:r>
      <w:r w:rsidR="00FB0B1E" w:rsidRPr="004D05FD">
        <w:rPr>
          <w:rFonts w:ascii="Arial" w:hAnsi="Arial" w:cs="Arial"/>
          <w:sz w:val="24"/>
          <w:szCs w:val="24"/>
        </w:rPr>
        <w:t xml:space="preserve">% </w:t>
      </w:r>
      <w:r w:rsidR="006144FF" w:rsidRPr="004D05FD">
        <w:rPr>
          <w:rFonts w:ascii="Arial" w:hAnsi="Arial" w:cs="Arial"/>
          <w:sz w:val="24"/>
          <w:szCs w:val="24"/>
        </w:rPr>
        <w:t>of young disabled people are not in employment</w:t>
      </w:r>
      <w:r w:rsidR="006144FF" w:rsidRPr="00963997">
        <w:rPr>
          <w:rFonts w:ascii="Arial" w:hAnsi="Arial" w:cs="Arial"/>
          <w:sz w:val="24"/>
          <w:szCs w:val="24"/>
        </w:rPr>
        <w:t xml:space="preserve">, </w:t>
      </w:r>
      <w:proofErr w:type="gramStart"/>
      <w:r w:rsidR="006144FF" w:rsidRPr="00963997">
        <w:rPr>
          <w:rFonts w:ascii="Arial" w:hAnsi="Arial" w:cs="Arial"/>
          <w:sz w:val="24"/>
          <w:szCs w:val="24"/>
        </w:rPr>
        <w:t>education</w:t>
      </w:r>
      <w:proofErr w:type="gramEnd"/>
      <w:r w:rsidR="006144FF" w:rsidRPr="00963997">
        <w:rPr>
          <w:rFonts w:ascii="Arial" w:hAnsi="Arial" w:cs="Arial"/>
          <w:sz w:val="24"/>
          <w:szCs w:val="24"/>
        </w:rPr>
        <w:t xml:space="preserve"> or training, compared to 10.6</w:t>
      </w:r>
      <w:r w:rsidR="00FB0B1E">
        <w:rPr>
          <w:rFonts w:ascii="Arial" w:hAnsi="Arial" w:cs="Arial"/>
          <w:sz w:val="24"/>
          <w:szCs w:val="24"/>
        </w:rPr>
        <w:t xml:space="preserve">% </w:t>
      </w:r>
      <w:r w:rsidR="006144FF" w:rsidRPr="00963997">
        <w:rPr>
          <w:rFonts w:ascii="Arial" w:hAnsi="Arial" w:cs="Arial"/>
          <w:sz w:val="24"/>
          <w:szCs w:val="24"/>
        </w:rPr>
        <w:t>of non-disabled youth as at June 2020)</w:t>
      </w:r>
    </w:p>
    <w:p w14:paraId="33C0711D" w14:textId="578FAB0A" w:rsidR="006144FF" w:rsidRPr="00963997" w:rsidRDefault="006144FF" w:rsidP="005D59CC">
      <w:pPr>
        <w:pStyle w:val="ListParagraph"/>
        <w:numPr>
          <w:ilvl w:val="0"/>
          <w:numId w:val="8"/>
        </w:numPr>
        <w:spacing w:before="120" w:after="120" w:line="240" w:lineRule="atLeast"/>
        <w:contextualSpacing w:val="0"/>
        <w:rPr>
          <w:rFonts w:ascii="Arial" w:hAnsi="Arial" w:cs="Arial"/>
          <w:sz w:val="24"/>
          <w:szCs w:val="24"/>
        </w:rPr>
      </w:pPr>
      <w:r w:rsidRPr="00963997">
        <w:rPr>
          <w:rFonts w:ascii="Arial" w:hAnsi="Arial" w:cs="Arial"/>
          <w:sz w:val="24"/>
          <w:szCs w:val="24"/>
        </w:rPr>
        <w:t>LGBTQIA+</w:t>
      </w:r>
      <w:r w:rsidR="00504FDC">
        <w:rPr>
          <w:rStyle w:val="FootnoteReference"/>
          <w:rFonts w:ascii="Arial" w:hAnsi="Arial" w:cs="Arial"/>
          <w:sz w:val="24"/>
          <w:szCs w:val="24"/>
        </w:rPr>
        <w:footnoteReference w:id="3"/>
      </w:r>
      <w:r w:rsidRPr="00963997">
        <w:rPr>
          <w:rFonts w:ascii="Arial" w:hAnsi="Arial" w:cs="Arial"/>
          <w:sz w:val="24"/>
          <w:szCs w:val="24"/>
        </w:rPr>
        <w:t xml:space="preserve"> youth</w:t>
      </w:r>
    </w:p>
    <w:p w14:paraId="78C03C60" w14:textId="19FA9EDA" w:rsidR="006144FF" w:rsidRPr="00963997" w:rsidRDefault="00B20B6E" w:rsidP="005D59CC">
      <w:pPr>
        <w:pStyle w:val="ListParagraph"/>
        <w:numPr>
          <w:ilvl w:val="0"/>
          <w:numId w:val="8"/>
        </w:numPr>
        <w:spacing w:before="120" w:after="120" w:line="240" w:lineRule="atLeast"/>
        <w:contextualSpacing w:val="0"/>
        <w:rPr>
          <w:rFonts w:ascii="Arial" w:hAnsi="Arial" w:cs="Arial"/>
          <w:sz w:val="24"/>
          <w:szCs w:val="24"/>
        </w:rPr>
      </w:pPr>
      <w:r w:rsidRPr="00963997">
        <w:rPr>
          <w:rFonts w:ascii="Arial" w:hAnsi="Arial" w:cs="Arial"/>
          <w:sz w:val="24"/>
          <w:szCs w:val="24"/>
        </w:rPr>
        <w:t>y</w:t>
      </w:r>
      <w:r w:rsidR="006144FF" w:rsidRPr="00963997">
        <w:rPr>
          <w:rFonts w:ascii="Arial" w:hAnsi="Arial" w:cs="Arial"/>
          <w:sz w:val="24"/>
          <w:szCs w:val="24"/>
        </w:rPr>
        <w:t>oung parents</w:t>
      </w:r>
      <w:r w:rsidR="00782186">
        <w:rPr>
          <w:rFonts w:ascii="Arial" w:hAnsi="Arial" w:cs="Arial"/>
          <w:sz w:val="24"/>
          <w:szCs w:val="24"/>
        </w:rPr>
        <w:t xml:space="preserve"> (y</w:t>
      </w:r>
      <w:r w:rsidR="006144FF" w:rsidRPr="00963997">
        <w:rPr>
          <w:rFonts w:ascii="Arial" w:hAnsi="Arial" w:cs="Arial"/>
          <w:sz w:val="24"/>
          <w:szCs w:val="24"/>
        </w:rPr>
        <w:t>oung women</w:t>
      </w:r>
      <w:r w:rsidR="00E248B5" w:rsidRPr="00963997">
        <w:rPr>
          <w:rFonts w:ascii="Arial" w:hAnsi="Arial" w:cs="Arial"/>
          <w:sz w:val="24"/>
          <w:szCs w:val="24"/>
        </w:rPr>
        <w:t xml:space="preserve"> with children</w:t>
      </w:r>
      <w:r w:rsidR="006144FF" w:rsidRPr="00963997">
        <w:rPr>
          <w:rFonts w:ascii="Arial" w:hAnsi="Arial" w:cs="Arial"/>
          <w:sz w:val="24"/>
          <w:szCs w:val="24"/>
        </w:rPr>
        <w:t xml:space="preserve"> have higher rates</w:t>
      </w:r>
      <w:r w:rsidR="00E248B5" w:rsidRPr="00963997">
        <w:rPr>
          <w:rFonts w:ascii="Arial" w:hAnsi="Arial" w:cs="Arial"/>
          <w:sz w:val="24"/>
          <w:szCs w:val="24"/>
        </w:rPr>
        <w:t xml:space="preserve"> of being not in education, </w:t>
      </w:r>
      <w:proofErr w:type="gramStart"/>
      <w:r w:rsidR="00E248B5" w:rsidRPr="00963997">
        <w:rPr>
          <w:rFonts w:ascii="Arial" w:hAnsi="Arial" w:cs="Arial"/>
          <w:sz w:val="24"/>
          <w:szCs w:val="24"/>
        </w:rPr>
        <w:t>employment</w:t>
      </w:r>
      <w:proofErr w:type="gramEnd"/>
      <w:r w:rsidR="00E248B5" w:rsidRPr="00963997">
        <w:rPr>
          <w:rFonts w:ascii="Arial" w:hAnsi="Arial" w:cs="Arial"/>
          <w:sz w:val="24"/>
          <w:szCs w:val="24"/>
        </w:rPr>
        <w:t xml:space="preserve"> or training</w:t>
      </w:r>
      <w:r w:rsidR="006144FF" w:rsidRPr="00963997">
        <w:rPr>
          <w:rFonts w:ascii="Arial" w:hAnsi="Arial" w:cs="Arial"/>
          <w:sz w:val="24"/>
          <w:szCs w:val="24"/>
        </w:rPr>
        <w:t>, partly due to disproportionate responsibility for caring</w:t>
      </w:r>
      <w:r w:rsidR="00782186">
        <w:rPr>
          <w:rFonts w:ascii="Arial" w:hAnsi="Arial" w:cs="Arial"/>
          <w:sz w:val="24"/>
          <w:szCs w:val="24"/>
        </w:rPr>
        <w:t>)</w:t>
      </w:r>
    </w:p>
    <w:p w14:paraId="01D91CB9" w14:textId="1E4B70CB" w:rsidR="006144FF" w:rsidRPr="00963997" w:rsidRDefault="00B20B6E" w:rsidP="005D59CC">
      <w:pPr>
        <w:pStyle w:val="ListParagraph"/>
        <w:numPr>
          <w:ilvl w:val="0"/>
          <w:numId w:val="8"/>
        </w:numPr>
        <w:spacing w:before="120" w:after="120" w:line="240" w:lineRule="atLeast"/>
        <w:contextualSpacing w:val="0"/>
        <w:rPr>
          <w:rFonts w:ascii="Arial" w:hAnsi="Arial" w:cs="Arial"/>
          <w:sz w:val="24"/>
          <w:szCs w:val="24"/>
        </w:rPr>
      </w:pPr>
      <w:r w:rsidRPr="00963997">
        <w:rPr>
          <w:rFonts w:ascii="Arial" w:hAnsi="Arial" w:cs="Arial"/>
          <w:sz w:val="24"/>
          <w:szCs w:val="24"/>
        </w:rPr>
        <w:t>y</w:t>
      </w:r>
      <w:r w:rsidR="00E248B5" w:rsidRPr="00963997">
        <w:rPr>
          <w:rFonts w:ascii="Arial" w:hAnsi="Arial" w:cs="Arial"/>
          <w:sz w:val="24"/>
          <w:szCs w:val="24"/>
        </w:rPr>
        <w:t>oung</w:t>
      </w:r>
      <w:r w:rsidR="006144FF" w:rsidRPr="00963997">
        <w:rPr>
          <w:rFonts w:ascii="Arial" w:hAnsi="Arial" w:cs="Arial"/>
          <w:sz w:val="24"/>
          <w:szCs w:val="24"/>
        </w:rPr>
        <w:t xml:space="preserve"> Māori</w:t>
      </w:r>
      <w:r w:rsidR="00782186">
        <w:rPr>
          <w:rFonts w:ascii="Arial" w:hAnsi="Arial" w:cs="Arial"/>
          <w:sz w:val="24"/>
          <w:szCs w:val="24"/>
        </w:rPr>
        <w:t xml:space="preserve"> and </w:t>
      </w:r>
      <w:r w:rsidR="006144FF" w:rsidRPr="00963997">
        <w:rPr>
          <w:rFonts w:ascii="Arial" w:hAnsi="Arial" w:cs="Arial"/>
          <w:sz w:val="24"/>
          <w:szCs w:val="24"/>
        </w:rPr>
        <w:t>Pacific people</w:t>
      </w:r>
      <w:r w:rsidR="00504FDC">
        <w:rPr>
          <w:rFonts w:ascii="Arial" w:hAnsi="Arial" w:cs="Arial"/>
          <w:sz w:val="24"/>
          <w:szCs w:val="24"/>
        </w:rPr>
        <w:t>, particularly</w:t>
      </w:r>
      <w:r w:rsidR="006144FF" w:rsidRPr="00963997">
        <w:rPr>
          <w:rFonts w:ascii="Arial" w:hAnsi="Arial" w:cs="Arial"/>
          <w:sz w:val="24"/>
          <w:szCs w:val="24"/>
        </w:rPr>
        <w:t xml:space="preserve"> due to their growing youth populations relative to other groups</w:t>
      </w:r>
    </w:p>
    <w:p w14:paraId="012FA3C7" w14:textId="32326A8A" w:rsidR="006144FF" w:rsidRPr="004D05FD" w:rsidRDefault="00B20B6E" w:rsidP="005D59CC">
      <w:pPr>
        <w:pStyle w:val="ListParagraph"/>
        <w:numPr>
          <w:ilvl w:val="0"/>
          <w:numId w:val="8"/>
        </w:numPr>
        <w:spacing w:before="120" w:after="120" w:line="240" w:lineRule="atLeast"/>
        <w:contextualSpacing w:val="0"/>
        <w:rPr>
          <w:rFonts w:ascii="Arial" w:hAnsi="Arial" w:cs="Arial"/>
          <w:sz w:val="24"/>
          <w:szCs w:val="24"/>
        </w:rPr>
      </w:pPr>
      <w:r w:rsidRPr="00963997">
        <w:rPr>
          <w:rFonts w:ascii="Arial" w:hAnsi="Arial" w:cs="Arial"/>
          <w:sz w:val="24"/>
          <w:szCs w:val="24"/>
        </w:rPr>
        <w:t>l</w:t>
      </w:r>
      <w:r w:rsidR="00E248B5" w:rsidRPr="00963997">
        <w:rPr>
          <w:rFonts w:ascii="Arial" w:hAnsi="Arial" w:cs="Arial"/>
          <w:sz w:val="24"/>
          <w:szCs w:val="24"/>
        </w:rPr>
        <w:t>ocations with high numbers or proportions of youth at risk of limite</w:t>
      </w:r>
      <w:r w:rsidR="008650F4">
        <w:rPr>
          <w:rFonts w:ascii="Arial" w:hAnsi="Arial" w:cs="Arial"/>
          <w:sz w:val="24"/>
          <w:szCs w:val="24"/>
        </w:rPr>
        <w:t>d employment</w:t>
      </w:r>
      <w:r w:rsidR="00782186">
        <w:rPr>
          <w:rFonts w:ascii="Arial" w:hAnsi="Arial" w:cs="Arial"/>
          <w:sz w:val="24"/>
          <w:szCs w:val="24"/>
        </w:rPr>
        <w:t>;</w:t>
      </w:r>
      <w:r w:rsidR="008650F4">
        <w:rPr>
          <w:rFonts w:ascii="Arial" w:hAnsi="Arial" w:cs="Arial"/>
          <w:sz w:val="24"/>
          <w:szCs w:val="24"/>
        </w:rPr>
        <w:t xml:space="preserve"> for example, </w:t>
      </w:r>
      <w:r w:rsidR="006144FF" w:rsidRPr="00963997">
        <w:rPr>
          <w:rFonts w:ascii="Arial" w:hAnsi="Arial" w:cs="Arial"/>
          <w:sz w:val="24"/>
          <w:szCs w:val="24"/>
        </w:rPr>
        <w:t xml:space="preserve">Auckland, </w:t>
      </w:r>
      <w:proofErr w:type="gramStart"/>
      <w:r w:rsidR="006144FF" w:rsidRPr="00963997">
        <w:rPr>
          <w:rFonts w:ascii="Arial" w:hAnsi="Arial" w:cs="Arial"/>
          <w:sz w:val="24"/>
          <w:szCs w:val="24"/>
        </w:rPr>
        <w:t>Waikato</w:t>
      </w:r>
      <w:proofErr w:type="gramEnd"/>
      <w:r w:rsidR="006144FF" w:rsidRPr="00963997">
        <w:rPr>
          <w:rFonts w:ascii="Arial" w:hAnsi="Arial" w:cs="Arial"/>
          <w:sz w:val="24"/>
          <w:szCs w:val="24"/>
        </w:rPr>
        <w:t xml:space="preserve"> and Wellington </w:t>
      </w:r>
      <w:r w:rsidR="008650F4">
        <w:rPr>
          <w:rFonts w:ascii="Arial" w:hAnsi="Arial" w:cs="Arial"/>
          <w:sz w:val="24"/>
          <w:szCs w:val="24"/>
        </w:rPr>
        <w:t xml:space="preserve">are </w:t>
      </w:r>
      <w:r w:rsidR="006144FF" w:rsidRPr="00963997">
        <w:rPr>
          <w:rFonts w:ascii="Arial" w:hAnsi="Arial" w:cs="Arial"/>
          <w:sz w:val="24"/>
          <w:szCs w:val="24"/>
        </w:rPr>
        <w:t xml:space="preserve">likely to be a particular focus, along with areas with a high proportion of </w:t>
      </w:r>
      <w:r w:rsidRPr="00963997">
        <w:rPr>
          <w:rFonts w:ascii="Arial" w:hAnsi="Arial" w:cs="Arial"/>
          <w:sz w:val="24"/>
          <w:szCs w:val="24"/>
        </w:rPr>
        <w:t>high-risk</w:t>
      </w:r>
      <w:r w:rsidR="006144FF" w:rsidRPr="00963997">
        <w:rPr>
          <w:rFonts w:ascii="Arial" w:hAnsi="Arial" w:cs="Arial"/>
          <w:sz w:val="24"/>
          <w:szCs w:val="24"/>
        </w:rPr>
        <w:t xml:space="preserve"> </w:t>
      </w:r>
      <w:r w:rsidR="00E248B5" w:rsidRPr="00963997">
        <w:rPr>
          <w:rFonts w:ascii="Arial" w:hAnsi="Arial" w:cs="Arial"/>
          <w:sz w:val="24"/>
          <w:szCs w:val="24"/>
        </w:rPr>
        <w:t>youth,</w:t>
      </w:r>
      <w:r w:rsidR="006144FF" w:rsidRPr="00963997">
        <w:rPr>
          <w:rFonts w:ascii="Arial" w:hAnsi="Arial" w:cs="Arial"/>
          <w:sz w:val="24"/>
          <w:szCs w:val="24"/>
        </w:rPr>
        <w:t xml:space="preserve"> </w:t>
      </w:r>
      <w:r w:rsidR="006144FF" w:rsidRPr="004D05FD">
        <w:rPr>
          <w:rFonts w:ascii="Arial" w:hAnsi="Arial" w:cs="Arial"/>
          <w:sz w:val="24"/>
          <w:szCs w:val="24"/>
        </w:rPr>
        <w:t>such as Northland and Gisborne.</w:t>
      </w:r>
    </w:p>
    <w:p w14:paraId="1BAAB01C" w14:textId="1775E5ED" w:rsidR="006144FF" w:rsidRPr="004D05FD" w:rsidRDefault="006144FF" w:rsidP="005D59CC">
      <w:pPr>
        <w:pStyle w:val="Heading3"/>
        <w:spacing w:before="120" w:line="240" w:lineRule="atLeast"/>
        <w:rPr>
          <w:rStyle w:val="SubtleEmphasis"/>
          <w:rFonts w:ascii="Arial" w:hAnsi="Arial" w:cs="Arial"/>
          <w:i w:val="0"/>
          <w:iCs w:val="0"/>
          <w:color w:val="auto"/>
          <w:sz w:val="24"/>
        </w:rPr>
      </w:pPr>
      <w:r w:rsidRPr="004D05FD">
        <w:rPr>
          <w:rStyle w:val="SubtleEmphasis"/>
          <w:rFonts w:ascii="Arial" w:hAnsi="Arial" w:cs="Arial"/>
          <w:i w:val="0"/>
          <w:iCs w:val="0"/>
          <w:color w:val="auto"/>
          <w:sz w:val="24"/>
        </w:rPr>
        <w:t>Broader labour market settings</w:t>
      </w:r>
      <w:r w:rsidR="00E248B5" w:rsidRPr="004D05FD">
        <w:rPr>
          <w:rStyle w:val="SubtleEmphasis"/>
          <w:rFonts w:ascii="Arial" w:hAnsi="Arial" w:cs="Arial"/>
          <w:i w:val="0"/>
          <w:iCs w:val="0"/>
          <w:color w:val="auto"/>
          <w:sz w:val="24"/>
        </w:rPr>
        <w:t xml:space="preserve"> </w:t>
      </w:r>
      <w:r w:rsidR="005D33B2" w:rsidRPr="004D05FD">
        <w:rPr>
          <w:rStyle w:val="SubtleEmphasis"/>
          <w:rFonts w:ascii="Arial" w:hAnsi="Arial" w:cs="Arial"/>
          <w:i w:val="0"/>
          <w:iCs w:val="0"/>
          <w:color w:val="auto"/>
          <w:sz w:val="24"/>
        </w:rPr>
        <w:t xml:space="preserve">that affect the three focus areas, </w:t>
      </w:r>
      <w:r w:rsidR="00E248B5" w:rsidRPr="004D05FD">
        <w:rPr>
          <w:rStyle w:val="SubtleEmphasis"/>
          <w:rFonts w:ascii="Arial" w:hAnsi="Arial" w:cs="Arial"/>
          <w:i w:val="0"/>
          <w:iCs w:val="0"/>
          <w:color w:val="auto"/>
          <w:sz w:val="24"/>
        </w:rPr>
        <w:t>including</w:t>
      </w:r>
      <w:r w:rsidR="00782186" w:rsidRPr="004D05FD">
        <w:rPr>
          <w:rStyle w:val="SubtleEmphasis"/>
          <w:rFonts w:ascii="Arial" w:hAnsi="Arial" w:cs="Arial"/>
          <w:i w:val="0"/>
          <w:iCs w:val="0"/>
          <w:color w:val="auto"/>
          <w:sz w:val="24"/>
        </w:rPr>
        <w:t>:</w:t>
      </w:r>
    </w:p>
    <w:p w14:paraId="7E32F017" w14:textId="1C1F6D15" w:rsidR="006144FF" w:rsidRPr="00963997" w:rsidRDefault="00B20B6E" w:rsidP="005D59CC">
      <w:pPr>
        <w:pStyle w:val="ListParagraph"/>
        <w:numPr>
          <w:ilvl w:val="0"/>
          <w:numId w:val="8"/>
        </w:numPr>
        <w:spacing w:before="120" w:after="120" w:line="240" w:lineRule="atLeast"/>
        <w:contextualSpacing w:val="0"/>
        <w:rPr>
          <w:rFonts w:ascii="Arial" w:hAnsi="Arial" w:cs="Arial"/>
          <w:sz w:val="24"/>
          <w:szCs w:val="24"/>
        </w:rPr>
      </w:pPr>
      <w:r w:rsidRPr="004D05FD">
        <w:rPr>
          <w:rFonts w:ascii="Arial" w:hAnsi="Arial" w:cs="Arial"/>
          <w:sz w:val="24"/>
          <w:szCs w:val="24"/>
        </w:rPr>
        <w:t>h</w:t>
      </w:r>
      <w:r w:rsidR="006144FF" w:rsidRPr="004D05FD">
        <w:rPr>
          <w:rFonts w:ascii="Arial" w:hAnsi="Arial" w:cs="Arial"/>
          <w:sz w:val="24"/>
          <w:szCs w:val="24"/>
        </w:rPr>
        <w:t xml:space="preserve">ow employers </w:t>
      </w:r>
      <w:r w:rsidR="006144FF" w:rsidRPr="00963997">
        <w:rPr>
          <w:rFonts w:ascii="Arial" w:hAnsi="Arial" w:cs="Arial"/>
          <w:sz w:val="24"/>
          <w:szCs w:val="24"/>
        </w:rPr>
        <w:t>can be supported and incentivised to take on young people and help them flourish in work</w:t>
      </w:r>
    </w:p>
    <w:p w14:paraId="03318BD2" w14:textId="58CF2E94" w:rsidR="006144FF" w:rsidRPr="00963997" w:rsidRDefault="00B20B6E" w:rsidP="005D59CC">
      <w:pPr>
        <w:pStyle w:val="ListParagraph"/>
        <w:numPr>
          <w:ilvl w:val="0"/>
          <w:numId w:val="8"/>
        </w:numPr>
        <w:spacing w:before="120" w:after="120" w:line="240" w:lineRule="atLeast"/>
        <w:contextualSpacing w:val="0"/>
        <w:rPr>
          <w:rFonts w:ascii="Arial" w:hAnsi="Arial" w:cs="Arial"/>
          <w:sz w:val="24"/>
          <w:szCs w:val="24"/>
        </w:rPr>
      </w:pPr>
      <w:r w:rsidRPr="00963997">
        <w:rPr>
          <w:rFonts w:ascii="Arial" w:hAnsi="Arial" w:cs="Arial"/>
          <w:sz w:val="24"/>
          <w:szCs w:val="24"/>
        </w:rPr>
        <w:lastRenderedPageBreak/>
        <w:t>u</w:t>
      </w:r>
      <w:r w:rsidR="00E248B5" w:rsidRPr="00963997">
        <w:rPr>
          <w:rFonts w:ascii="Arial" w:hAnsi="Arial" w:cs="Arial"/>
          <w:sz w:val="24"/>
          <w:szCs w:val="24"/>
        </w:rPr>
        <w:t>nderstanding the</w:t>
      </w:r>
      <w:r w:rsidR="006144FF" w:rsidRPr="00963997">
        <w:rPr>
          <w:rFonts w:ascii="Arial" w:hAnsi="Arial" w:cs="Arial"/>
          <w:sz w:val="24"/>
          <w:szCs w:val="24"/>
        </w:rPr>
        <w:t xml:space="preserve"> </w:t>
      </w:r>
      <w:r w:rsidR="007D7791" w:rsidRPr="00963997">
        <w:rPr>
          <w:rFonts w:ascii="Arial" w:hAnsi="Arial" w:cs="Arial"/>
          <w:sz w:val="24"/>
          <w:szCs w:val="24"/>
        </w:rPr>
        <w:t xml:space="preserve">jobs and industries </w:t>
      </w:r>
      <w:r w:rsidR="00E248B5" w:rsidRPr="00963997">
        <w:rPr>
          <w:rFonts w:ascii="Arial" w:hAnsi="Arial" w:cs="Arial"/>
          <w:sz w:val="24"/>
          <w:szCs w:val="24"/>
        </w:rPr>
        <w:t>youth at risk of limited employment engage in when they do enter work</w:t>
      </w:r>
      <w:r w:rsidR="008650F4">
        <w:rPr>
          <w:rFonts w:ascii="Arial" w:hAnsi="Arial" w:cs="Arial"/>
          <w:sz w:val="24"/>
          <w:szCs w:val="24"/>
        </w:rPr>
        <w:t xml:space="preserve"> (w</w:t>
      </w:r>
      <w:r w:rsidR="006144FF" w:rsidRPr="00963997">
        <w:rPr>
          <w:rFonts w:ascii="Arial" w:hAnsi="Arial" w:cs="Arial"/>
          <w:sz w:val="24"/>
          <w:szCs w:val="24"/>
        </w:rPr>
        <w:t xml:space="preserve">e do not have good data </w:t>
      </w:r>
      <w:r w:rsidR="00E248B5" w:rsidRPr="00963997">
        <w:rPr>
          <w:rFonts w:ascii="Arial" w:hAnsi="Arial" w:cs="Arial"/>
          <w:sz w:val="24"/>
          <w:szCs w:val="24"/>
        </w:rPr>
        <w:t xml:space="preserve">on this </w:t>
      </w:r>
      <w:r w:rsidR="006144FF" w:rsidRPr="00963997">
        <w:rPr>
          <w:rFonts w:ascii="Arial" w:hAnsi="Arial" w:cs="Arial"/>
          <w:sz w:val="24"/>
          <w:szCs w:val="24"/>
        </w:rPr>
        <w:t>currently</w:t>
      </w:r>
      <w:r w:rsidR="008650F4">
        <w:rPr>
          <w:rFonts w:ascii="Arial" w:hAnsi="Arial" w:cs="Arial"/>
          <w:sz w:val="24"/>
          <w:szCs w:val="24"/>
        </w:rPr>
        <w:t>)</w:t>
      </w:r>
    </w:p>
    <w:p w14:paraId="1ECDB0E9" w14:textId="099DA486" w:rsidR="006144FF" w:rsidRPr="00963997" w:rsidRDefault="00B20B6E" w:rsidP="005D59CC">
      <w:pPr>
        <w:pStyle w:val="ListParagraph"/>
        <w:numPr>
          <w:ilvl w:val="0"/>
          <w:numId w:val="8"/>
        </w:numPr>
        <w:spacing w:before="120" w:after="120" w:line="240" w:lineRule="atLeast"/>
        <w:contextualSpacing w:val="0"/>
        <w:rPr>
          <w:rFonts w:ascii="Arial" w:hAnsi="Arial" w:cs="Arial"/>
          <w:sz w:val="24"/>
          <w:szCs w:val="24"/>
        </w:rPr>
      </w:pPr>
      <w:r w:rsidRPr="00963997">
        <w:rPr>
          <w:rFonts w:ascii="Arial" w:hAnsi="Arial" w:cs="Arial"/>
          <w:sz w:val="24"/>
          <w:szCs w:val="24"/>
        </w:rPr>
        <w:t>t</w:t>
      </w:r>
      <w:r w:rsidR="006144FF" w:rsidRPr="00963997">
        <w:rPr>
          <w:rFonts w:ascii="Arial" w:hAnsi="Arial" w:cs="Arial"/>
          <w:sz w:val="24"/>
          <w:szCs w:val="24"/>
        </w:rPr>
        <w:t xml:space="preserve">he structure and employment arrangements </w:t>
      </w:r>
      <w:r w:rsidR="004E17F1" w:rsidRPr="00963997">
        <w:rPr>
          <w:rFonts w:ascii="Arial" w:hAnsi="Arial" w:cs="Arial"/>
          <w:sz w:val="24"/>
          <w:szCs w:val="24"/>
        </w:rPr>
        <w:t>which youth at risk of limited employment</w:t>
      </w:r>
      <w:r w:rsidR="006144FF" w:rsidRPr="00963997">
        <w:rPr>
          <w:rFonts w:ascii="Arial" w:hAnsi="Arial" w:cs="Arial"/>
          <w:sz w:val="24"/>
          <w:szCs w:val="24"/>
        </w:rPr>
        <w:t xml:space="preserve"> engage</w:t>
      </w:r>
      <w:r w:rsidR="004E17F1" w:rsidRPr="00963997">
        <w:rPr>
          <w:rFonts w:ascii="Arial" w:hAnsi="Arial" w:cs="Arial"/>
          <w:sz w:val="24"/>
          <w:szCs w:val="24"/>
        </w:rPr>
        <w:t xml:space="preserve"> in, </w:t>
      </w:r>
      <w:r w:rsidR="006144FF" w:rsidRPr="00963997">
        <w:rPr>
          <w:rFonts w:ascii="Arial" w:hAnsi="Arial" w:cs="Arial"/>
          <w:sz w:val="24"/>
          <w:szCs w:val="24"/>
        </w:rPr>
        <w:t xml:space="preserve">that affect their ability to stay </w:t>
      </w:r>
      <w:r w:rsidR="004E17F1" w:rsidRPr="00963997">
        <w:rPr>
          <w:rFonts w:ascii="Arial" w:hAnsi="Arial" w:cs="Arial"/>
          <w:sz w:val="24"/>
          <w:szCs w:val="24"/>
        </w:rPr>
        <w:t>in</w:t>
      </w:r>
      <w:r w:rsidR="006144FF" w:rsidRPr="00963997">
        <w:rPr>
          <w:rFonts w:ascii="Arial" w:hAnsi="Arial" w:cs="Arial"/>
          <w:sz w:val="24"/>
          <w:szCs w:val="24"/>
        </w:rPr>
        <w:t xml:space="preserve"> employment.</w:t>
      </w:r>
    </w:p>
    <w:p w14:paraId="1BA258E3" w14:textId="5CB85E54" w:rsidR="008E3130" w:rsidRPr="00963997" w:rsidRDefault="008301E0" w:rsidP="005D59CC">
      <w:pPr>
        <w:pStyle w:val="Title"/>
        <w:spacing w:before="120" w:after="120" w:line="240" w:lineRule="atLeast"/>
        <w:contextualSpacing w:val="0"/>
      </w:pPr>
      <w:r w:rsidRPr="00963997">
        <w:t>Next steps</w:t>
      </w:r>
    </w:p>
    <w:p w14:paraId="7C209B38" w14:textId="77777777" w:rsidR="008E3130" w:rsidRPr="00963997" w:rsidRDefault="008E3130" w:rsidP="005D59CC">
      <w:pPr>
        <w:spacing w:before="120" w:after="120" w:line="240" w:lineRule="atLeast"/>
        <w:rPr>
          <w:rFonts w:ascii="Arial" w:eastAsiaTheme="minorHAnsi" w:hAnsi="Arial" w:cs="Arial"/>
          <w:sz w:val="24"/>
          <w:lang w:val="en-NZ"/>
        </w:rPr>
      </w:pPr>
      <w:r w:rsidRPr="00963997">
        <w:rPr>
          <w:rFonts w:ascii="Arial" w:eastAsiaTheme="minorHAnsi" w:hAnsi="Arial" w:cs="Arial"/>
          <w:sz w:val="24"/>
          <w:lang w:val="en-NZ"/>
        </w:rPr>
        <w:t>We will formally seek feedback at two stages as we develop the Briefing.</w:t>
      </w:r>
    </w:p>
    <w:p w14:paraId="09EF9E58" w14:textId="269DA942" w:rsidR="008E3130" w:rsidRPr="00963997" w:rsidRDefault="008E3130" w:rsidP="005D59CC">
      <w:pPr>
        <w:spacing w:before="120" w:after="120" w:line="240" w:lineRule="atLeast"/>
        <w:rPr>
          <w:rFonts w:ascii="Arial" w:eastAsiaTheme="minorHAnsi" w:hAnsi="Arial" w:cs="Arial"/>
          <w:sz w:val="24"/>
          <w:lang w:val="en-NZ"/>
        </w:rPr>
      </w:pPr>
      <w:r w:rsidRPr="00963997">
        <w:rPr>
          <w:rFonts w:ascii="Arial" w:eastAsiaTheme="minorHAnsi" w:hAnsi="Arial" w:cs="Arial"/>
          <w:sz w:val="24"/>
          <w:lang w:val="en-NZ"/>
        </w:rPr>
        <w:t>During July 2021, we</w:t>
      </w:r>
      <w:r w:rsidR="00700CE7" w:rsidRPr="00963997">
        <w:rPr>
          <w:rFonts w:ascii="Arial" w:eastAsiaTheme="minorHAnsi" w:hAnsi="Arial" w:cs="Arial"/>
          <w:sz w:val="24"/>
          <w:lang w:val="en-NZ"/>
        </w:rPr>
        <w:t xml:space="preserve"> will</w:t>
      </w:r>
      <w:r w:rsidRPr="00963997">
        <w:rPr>
          <w:rFonts w:ascii="Arial" w:eastAsiaTheme="minorHAnsi" w:hAnsi="Arial" w:cs="Arial"/>
          <w:sz w:val="24"/>
          <w:lang w:val="en-NZ"/>
        </w:rPr>
        <w:t xml:space="preserve"> </w:t>
      </w:r>
      <w:r w:rsidR="00700CE7" w:rsidRPr="00963997">
        <w:rPr>
          <w:rFonts w:ascii="Arial" w:eastAsiaTheme="minorHAnsi" w:hAnsi="Arial" w:cs="Arial"/>
          <w:sz w:val="24"/>
          <w:lang w:val="en-NZ"/>
        </w:rPr>
        <w:t xml:space="preserve">use this consultation document to </w:t>
      </w:r>
      <w:r w:rsidRPr="00963997">
        <w:rPr>
          <w:rFonts w:ascii="Arial" w:eastAsiaTheme="minorHAnsi" w:hAnsi="Arial" w:cs="Arial"/>
          <w:sz w:val="24"/>
          <w:lang w:val="en-NZ"/>
        </w:rPr>
        <w:t>seek feedback on the subject</w:t>
      </w:r>
      <w:r w:rsidR="00700CE7" w:rsidRPr="00963997">
        <w:rPr>
          <w:rFonts w:ascii="Arial" w:eastAsiaTheme="minorHAnsi" w:hAnsi="Arial" w:cs="Arial"/>
          <w:sz w:val="24"/>
          <w:lang w:val="en-NZ"/>
        </w:rPr>
        <w:t xml:space="preserve">, </w:t>
      </w:r>
      <w:r w:rsidRPr="00963997">
        <w:rPr>
          <w:rFonts w:ascii="Arial" w:eastAsiaTheme="minorHAnsi" w:hAnsi="Arial" w:cs="Arial"/>
          <w:sz w:val="24"/>
          <w:lang w:val="en-NZ"/>
        </w:rPr>
        <w:t>scope</w:t>
      </w:r>
      <w:r w:rsidR="00700CE7" w:rsidRPr="00963997">
        <w:rPr>
          <w:rFonts w:ascii="Arial" w:eastAsiaTheme="minorHAnsi" w:hAnsi="Arial" w:cs="Arial"/>
          <w:sz w:val="24"/>
          <w:lang w:val="en-NZ"/>
        </w:rPr>
        <w:t xml:space="preserve"> and focus o</w:t>
      </w:r>
      <w:r w:rsidR="008301E0" w:rsidRPr="00963997">
        <w:rPr>
          <w:rFonts w:ascii="Arial" w:eastAsiaTheme="minorHAnsi" w:hAnsi="Arial" w:cs="Arial"/>
          <w:sz w:val="24"/>
          <w:lang w:val="en-NZ"/>
        </w:rPr>
        <w:t xml:space="preserve">f the </w:t>
      </w:r>
      <w:r w:rsidR="00B20B6E" w:rsidRPr="00963997">
        <w:rPr>
          <w:rFonts w:ascii="Arial" w:eastAsiaTheme="minorHAnsi" w:hAnsi="Arial" w:cs="Arial"/>
          <w:sz w:val="24"/>
          <w:lang w:val="en-NZ"/>
        </w:rPr>
        <w:t>Long-Term</w:t>
      </w:r>
      <w:r w:rsidR="008301E0" w:rsidRPr="00963997">
        <w:rPr>
          <w:rFonts w:ascii="Arial" w:eastAsiaTheme="minorHAnsi" w:hAnsi="Arial" w:cs="Arial"/>
          <w:sz w:val="24"/>
          <w:lang w:val="en-NZ"/>
        </w:rPr>
        <w:t xml:space="preserve"> Insights Briefing</w:t>
      </w:r>
      <w:r w:rsidRPr="00963997">
        <w:rPr>
          <w:rFonts w:ascii="Arial" w:eastAsiaTheme="minorHAnsi" w:hAnsi="Arial" w:cs="Arial"/>
          <w:sz w:val="24"/>
          <w:lang w:val="en-NZ"/>
        </w:rPr>
        <w:t xml:space="preserve">. This will help </w:t>
      </w:r>
      <w:r w:rsidR="00AE3D2A">
        <w:rPr>
          <w:rFonts w:ascii="Arial" w:eastAsiaTheme="minorHAnsi" w:hAnsi="Arial" w:cs="Arial"/>
          <w:sz w:val="24"/>
          <w:lang w:val="en-NZ"/>
        </w:rPr>
        <w:t>us</w:t>
      </w:r>
      <w:r w:rsidRPr="00963997">
        <w:rPr>
          <w:rFonts w:ascii="Arial" w:eastAsiaTheme="minorHAnsi" w:hAnsi="Arial" w:cs="Arial"/>
          <w:sz w:val="24"/>
          <w:lang w:val="en-NZ"/>
        </w:rPr>
        <w:t xml:space="preserve"> develop the first draft of the Briefing. </w:t>
      </w:r>
    </w:p>
    <w:p w14:paraId="489A5821" w14:textId="77777777" w:rsidR="008E3130" w:rsidRPr="00963997" w:rsidRDefault="008E3130" w:rsidP="005D59CC">
      <w:pPr>
        <w:spacing w:before="120" w:after="120" w:line="240" w:lineRule="atLeast"/>
        <w:rPr>
          <w:rFonts w:ascii="Arial" w:eastAsiaTheme="minorHAnsi" w:hAnsi="Arial" w:cs="Arial"/>
          <w:sz w:val="24"/>
          <w:lang w:val="en-NZ"/>
        </w:rPr>
      </w:pPr>
      <w:r w:rsidRPr="00963997">
        <w:rPr>
          <w:rFonts w:ascii="Arial" w:eastAsiaTheme="minorHAnsi" w:hAnsi="Arial" w:cs="Arial"/>
          <w:sz w:val="24"/>
          <w:lang w:val="en-NZ"/>
        </w:rPr>
        <w:t>We will continue engaging with stakeholders throughout 2021 as we develop the draft Briefing.</w:t>
      </w:r>
    </w:p>
    <w:p w14:paraId="6433D2BC" w14:textId="5A1DDDB6" w:rsidR="008E3130" w:rsidRPr="00963997" w:rsidRDefault="008E3130" w:rsidP="005D59CC">
      <w:pPr>
        <w:spacing w:before="120" w:after="120" w:line="240" w:lineRule="atLeast"/>
        <w:rPr>
          <w:rFonts w:ascii="Arial" w:eastAsiaTheme="minorHAnsi" w:hAnsi="Arial" w:cs="Arial"/>
          <w:sz w:val="24"/>
          <w:lang w:val="en-NZ"/>
        </w:rPr>
      </w:pPr>
      <w:r w:rsidRPr="00963997">
        <w:rPr>
          <w:rFonts w:ascii="Arial" w:eastAsiaTheme="minorHAnsi" w:hAnsi="Arial" w:cs="Arial"/>
          <w:sz w:val="24"/>
          <w:lang w:val="en-NZ"/>
        </w:rPr>
        <w:t>In early 2022, we will seek feedback on the draft Briefing</w:t>
      </w:r>
      <w:r w:rsidR="00782186">
        <w:rPr>
          <w:rFonts w:ascii="Arial" w:eastAsiaTheme="minorHAnsi" w:hAnsi="Arial" w:cs="Arial"/>
          <w:sz w:val="24"/>
          <w:lang w:val="en-NZ"/>
        </w:rPr>
        <w:t xml:space="preserve"> from the public</w:t>
      </w:r>
      <w:r w:rsidRPr="00963997">
        <w:rPr>
          <w:rFonts w:ascii="Arial" w:eastAsiaTheme="minorHAnsi" w:hAnsi="Arial" w:cs="Arial"/>
          <w:sz w:val="24"/>
          <w:lang w:val="en-NZ"/>
        </w:rPr>
        <w:t xml:space="preserve">. </w:t>
      </w:r>
    </w:p>
    <w:p w14:paraId="332873F4" w14:textId="77777777" w:rsidR="008E3130" w:rsidRPr="00963997" w:rsidRDefault="008E3130" w:rsidP="005D59CC">
      <w:pPr>
        <w:spacing w:before="120" w:after="120" w:line="240" w:lineRule="atLeast"/>
        <w:rPr>
          <w:rFonts w:ascii="Arial" w:eastAsiaTheme="minorHAnsi" w:hAnsi="Arial" w:cs="Arial"/>
          <w:sz w:val="24"/>
          <w:lang w:val="en-NZ"/>
        </w:rPr>
      </w:pPr>
      <w:r w:rsidRPr="00963997">
        <w:rPr>
          <w:rFonts w:ascii="Arial" w:eastAsiaTheme="minorHAnsi" w:hAnsi="Arial" w:cs="Arial"/>
          <w:sz w:val="24"/>
          <w:lang w:val="en-NZ"/>
        </w:rPr>
        <w:t xml:space="preserve">The final Briefing will go to the Minister for Social Development and Employment, the Minister of </w:t>
      </w:r>
      <w:proofErr w:type="gramStart"/>
      <w:r w:rsidRPr="00963997">
        <w:rPr>
          <w:rFonts w:ascii="Arial" w:eastAsiaTheme="minorHAnsi" w:hAnsi="Arial" w:cs="Arial"/>
          <w:sz w:val="24"/>
          <w:lang w:val="en-NZ"/>
        </w:rPr>
        <w:t>Education</w:t>
      </w:r>
      <w:proofErr w:type="gramEnd"/>
      <w:r w:rsidRPr="00963997">
        <w:rPr>
          <w:rFonts w:ascii="Arial" w:eastAsiaTheme="minorHAnsi" w:hAnsi="Arial" w:cs="Arial"/>
          <w:sz w:val="24"/>
          <w:lang w:val="en-NZ"/>
        </w:rPr>
        <w:t xml:space="preserve"> and other Ministers responsible for relevant portfolios. </w:t>
      </w:r>
    </w:p>
    <w:p w14:paraId="297018F3" w14:textId="239149F0" w:rsidR="008E3130" w:rsidRPr="00963997" w:rsidRDefault="008301E0" w:rsidP="005D59CC">
      <w:pPr>
        <w:spacing w:before="120" w:after="120" w:line="240" w:lineRule="atLeast"/>
        <w:rPr>
          <w:rFonts w:ascii="Arial" w:eastAsiaTheme="minorHAnsi" w:hAnsi="Arial" w:cs="Arial"/>
          <w:sz w:val="24"/>
          <w:lang w:val="en-NZ"/>
        </w:rPr>
      </w:pPr>
      <w:r w:rsidRPr="00963997">
        <w:rPr>
          <w:rFonts w:ascii="Arial" w:eastAsiaTheme="minorHAnsi" w:hAnsi="Arial" w:cs="Arial"/>
          <w:sz w:val="24"/>
          <w:lang w:val="en-NZ"/>
        </w:rPr>
        <w:t xml:space="preserve">The final </w:t>
      </w:r>
      <w:r w:rsidR="00B20B6E" w:rsidRPr="00963997">
        <w:rPr>
          <w:rFonts w:ascii="Arial" w:eastAsiaTheme="minorHAnsi" w:hAnsi="Arial" w:cs="Arial"/>
          <w:sz w:val="24"/>
          <w:lang w:val="en-NZ"/>
        </w:rPr>
        <w:t>Long-Term</w:t>
      </w:r>
      <w:r w:rsidRPr="00963997">
        <w:rPr>
          <w:rFonts w:ascii="Arial" w:eastAsiaTheme="minorHAnsi" w:hAnsi="Arial" w:cs="Arial"/>
          <w:sz w:val="24"/>
          <w:lang w:val="en-NZ"/>
        </w:rPr>
        <w:t xml:space="preserve"> Insights Briefing</w:t>
      </w:r>
      <w:r w:rsidR="008E3130" w:rsidRPr="00963997">
        <w:rPr>
          <w:rFonts w:ascii="Arial" w:eastAsiaTheme="minorHAnsi" w:hAnsi="Arial" w:cs="Arial"/>
          <w:sz w:val="24"/>
          <w:lang w:val="en-NZ"/>
        </w:rPr>
        <w:t xml:space="preserve"> will be presented to the House of Representatives by 30 June 2022.</w:t>
      </w:r>
    </w:p>
    <w:p w14:paraId="1B8E96BD" w14:textId="18BE7C89" w:rsidR="008301E0" w:rsidRPr="00963997" w:rsidRDefault="008301E0" w:rsidP="005D59CC">
      <w:pPr>
        <w:pStyle w:val="ListParagraph"/>
        <w:spacing w:before="120" w:after="120" w:line="240" w:lineRule="atLeast"/>
        <w:ind w:left="0"/>
        <w:contextualSpacing w:val="0"/>
        <w:rPr>
          <w:rFonts w:ascii="Arial" w:hAnsi="Arial" w:cs="Arial"/>
          <w:sz w:val="24"/>
        </w:rPr>
      </w:pPr>
      <w:r w:rsidRPr="00963997">
        <w:rPr>
          <w:rFonts w:ascii="Arial" w:hAnsi="Arial" w:cs="Arial"/>
          <w:sz w:val="24"/>
          <w:szCs w:val="24"/>
        </w:rPr>
        <w:t xml:space="preserve">The final Briefing will be a knowledge base to help Government to respond more effectively in the future for youth at risk of limited employment. The Briefing will also available as a public resource and evidence base. </w:t>
      </w:r>
    </w:p>
    <w:p w14:paraId="46AC0B2B" w14:textId="17CE47DE" w:rsidR="00105CF4" w:rsidRPr="00963997" w:rsidRDefault="006144FF" w:rsidP="005D59CC">
      <w:pPr>
        <w:pStyle w:val="Heading1"/>
        <w:spacing w:before="120" w:after="120" w:line="240" w:lineRule="atLeast"/>
        <w:rPr>
          <w:b/>
          <w:bCs/>
        </w:rPr>
      </w:pPr>
      <w:r w:rsidRPr="00963997">
        <w:rPr>
          <w:b/>
          <w:bCs/>
        </w:rPr>
        <w:t xml:space="preserve">Other work programmes </w:t>
      </w:r>
      <w:r w:rsidR="008301E0" w:rsidRPr="00963997">
        <w:rPr>
          <w:b/>
          <w:bCs/>
        </w:rPr>
        <w:t>across government will inform o</w:t>
      </w:r>
      <w:r w:rsidR="00F21137" w:rsidRPr="00963997">
        <w:rPr>
          <w:b/>
          <w:bCs/>
        </w:rPr>
        <w:t>r</w:t>
      </w:r>
      <w:r w:rsidR="008301E0" w:rsidRPr="00963997">
        <w:rPr>
          <w:b/>
          <w:bCs/>
        </w:rPr>
        <w:t xml:space="preserve"> benefit from the </w:t>
      </w:r>
      <w:r w:rsidR="00B20B6E" w:rsidRPr="00963997">
        <w:rPr>
          <w:b/>
          <w:bCs/>
        </w:rPr>
        <w:t>Long-Term</w:t>
      </w:r>
      <w:r w:rsidR="008301E0" w:rsidRPr="00963997">
        <w:rPr>
          <w:b/>
          <w:bCs/>
        </w:rPr>
        <w:t xml:space="preserve"> Insights Briefing on youth at risk of limited employment, including: </w:t>
      </w:r>
    </w:p>
    <w:p w14:paraId="7B786C20" w14:textId="77777777" w:rsidR="006144FF" w:rsidRPr="00963997" w:rsidRDefault="006144FF" w:rsidP="005D59CC">
      <w:pPr>
        <w:pStyle w:val="ListParagraph"/>
        <w:numPr>
          <w:ilvl w:val="1"/>
          <w:numId w:val="4"/>
        </w:numPr>
        <w:spacing w:before="120" w:after="120" w:line="240" w:lineRule="atLeast"/>
        <w:contextualSpacing w:val="0"/>
        <w:rPr>
          <w:rFonts w:ascii="Arial" w:hAnsi="Arial" w:cs="Arial"/>
          <w:sz w:val="24"/>
          <w:szCs w:val="24"/>
        </w:rPr>
      </w:pPr>
      <w:r w:rsidRPr="00963997">
        <w:rPr>
          <w:rFonts w:ascii="Arial" w:hAnsi="Arial" w:cs="Arial"/>
          <w:sz w:val="24"/>
          <w:szCs w:val="24"/>
        </w:rPr>
        <w:t>a review of active labour market programmes, products and policies that will help us map out current employment interventions for this group.</w:t>
      </w:r>
    </w:p>
    <w:p w14:paraId="55D90BA6" w14:textId="77777777" w:rsidR="006144FF" w:rsidRPr="00963997" w:rsidRDefault="006144FF" w:rsidP="005D59CC">
      <w:pPr>
        <w:pStyle w:val="ListParagraph"/>
        <w:numPr>
          <w:ilvl w:val="1"/>
          <w:numId w:val="4"/>
        </w:numPr>
        <w:spacing w:before="120" w:after="120" w:line="240" w:lineRule="atLeast"/>
        <w:contextualSpacing w:val="0"/>
        <w:rPr>
          <w:rFonts w:ascii="Arial" w:hAnsi="Arial" w:cs="Arial"/>
          <w:sz w:val="24"/>
          <w:szCs w:val="24"/>
        </w:rPr>
      </w:pPr>
      <w:r w:rsidRPr="00963997">
        <w:rPr>
          <w:rFonts w:ascii="Arial" w:hAnsi="Arial" w:cs="Arial"/>
          <w:sz w:val="24"/>
          <w:szCs w:val="24"/>
        </w:rPr>
        <w:t xml:space="preserve">the Future of Work Ministerial group – this year’s forums will focus on social unemployment insurance, climate change, digital </w:t>
      </w:r>
      <w:proofErr w:type="gramStart"/>
      <w:r w:rsidRPr="00963997">
        <w:rPr>
          <w:rFonts w:ascii="Arial" w:hAnsi="Arial" w:cs="Arial"/>
          <w:sz w:val="24"/>
          <w:szCs w:val="24"/>
        </w:rPr>
        <w:t>technology</w:t>
      </w:r>
      <w:proofErr w:type="gramEnd"/>
      <w:r w:rsidRPr="00963997">
        <w:rPr>
          <w:rFonts w:ascii="Arial" w:hAnsi="Arial" w:cs="Arial"/>
          <w:sz w:val="24"/>
          <w:szCs w:val="24"/>
        </w:rPr>
        <w:t xml:space="preserve"> and Māori. </w:t>
      </w:r>
    </w:p>
    <w:p w14:paraId="02A0BB3F" w14:textId="1D8BABE3" w:rsidR="006144FF" w:rsidRPr="00963997" w:rsidRDefault="006144FF" w:rsidP="005D59CC">
      <w:pPr>
        <w:pStyle w:val="ListParagraph"/>
        <w:numPr>
          <w:ilvl w:val="1"/>
          <w:numId w:val="4"/>
        </w:numPr>
        <w:spacing w:before="120" w:after="120" w:line="240" w:lineRule="atLeast"/>
        <w:contextualSpacing w:val="0"/>
        <w:rPr>
          <w:rFonts w:ascii="Arial" w:hAnsi="Arial" w:cs="Arial"/>
          <w:sz w:val="24"/>
          <w:szCs w:val="24"/>
        </w:rPr>
      </w:pPr>
      <w:r w:rsidRPr="00963997">
        <w:rPr>
          <w:rFonts w:ascii="Arial" w:hAnsi="Arial" w:cs="Arial"/>
          <w:sz w:val="24"/>
          <w:szCs w:val="24"/>
        </w:rPr>
        <w:t xml:space="preserve">the Reform of Vocational Education – this aims to provide learners with more support while they are training, and vocational education that is more relevant to work. </w:t>
      </w:r>
    </w:p>
    <w:p w14:paraId="6B3C0E7D" w14:textId="6FF4BA55" w:rsidR="006144FF" w:rsidRPr="00963997" w:rsidRDefault="006144FF" w:rsidP="005D59CC">
      <w:pPr>
        <w:pStyle w:val="ListParagraph"/>
        <w:numPr>
          <w:ilvl w:val="1"/>
          <w:numId w:val="4"/>
        </w:numPr>
        <w:spacing w:before="120" w:after="120" w:line="240" w:lineRule="atLeast"/>
        <w:contextualSpacing w:val="0"/>
        <w:rPr>
          <w:rFonts w:ascii="Arial" w:hAnsi="Arial" w:cs="Arial"/>
          <w:sz w:val="24"/>
          <w:szCs w:val="24"/>
        </w:rPr>
      </w:pPr>
      <w:r w:rsidRPr="00963997">
        <w:rPr>
          <w:rFonts w:ascii="Arial" w:hAnsi="Arial" w:cs="Arial"/>
          <w:sz w:val="24"/>
          <w:szCs w:val="24"/>
        </w:rPr>
        <w:t xml:space="preserve">the overhaul of the welfare system aims to reset the foundations of the social welfare system and includes work to expand </w:t>
      </w:r>
      <w:r w:rsidR="00782186">
        <w:rPr>
          <w:rFonts w:ascii="Arial" w:hAnsi="Arial" w:cs="Arial"/>
          <w:sz w:val="24"/>
          <w:szCs w:val="24"/>
        </w:rPr>
        <w:t>the Ministry of Social Development’s (MSD)</w:t>
      </w:r>
      <w:r w:rsidRPr="00963997">
        <w:rPr>
          <w:rFonts w:ascii="Arial" w:hAnsi="Arial" w:cs="Arial"/>
          <w:sz w:val="24"/>
          <w:szCs w:val="24"/>
        </w:rPr>
        <w:t xml:space="preserve"> employment services and improve supports and services for disabled people</w:t>
      </w:r>
      <w:r w:rsidR="00504FDC">
        <w:rPr>
          <w:rFonts w:ascii="Arial" w:hAnsi="Arial" w:cs="Arial"/>
          <w:sz w:val="24"/>
          <w:szCs w:val="24"/>
        </w:rPr>
        <w:t xml:space="preserve"> and their </w:t>
      </w:r>
      <w:proofErr w:type="spellStart"/>
      <w:r w:rsidR="00504FDC">
        <w:rPr>
          <w:rFonts w:ascii="Arial" w:hAnsi="Arial" w:cs="Arial"/>
          <w:sz w:val="24"/>
          <w:szCs w:val="24"/>
        </w:rPr>
        <w:t>carers</w:t>
      </w:r>
      <w:proofErr w:type="spellEnd"/>
      <w:r w:rsidRPr="00963997">
        <w:rPr>
          <w:rFonts w:ascii="Arial" w:hAnsi="Arial" w:cs="Arial"/>
          <w:sz w:val="24"/>
          <w:szCs w:val="24"/>
        </w:rPr>
        <w:t>.</w:t>
      </w:r>
    </w:p>
    <w:p w14:paraId="7A04D0DD" w14:textId="102ACA75" w:rsidR="006144FF" w:rsidRPr="00FB5099" w:rsidRDefault="00A9787F" w:rsidP="005D59CC">
      <w:pPr>
        <w:pStyle w:val="ListParagraph"/>
        <w:numPr>
          <w:ilvl w:val="1"/>
          <w:numId w:val="4"/>
        </w:numPr>
        <w:spacing w:before="120" w:after="120" w:line="240" w:lineRule="atLeast"/>
        <w:contextualSpacing w:val="0"/>
        <w:rPr>
          <w:rFonts w:ascii="Arial" w:hAnsi="Arial" w:cs="Arial"/>
          <w:sz w:val="24"/>
          <w:szCs w:val="24"/>
        </w:rPr>
      </w:pPr>
      <w:r w:rsidRPr="00FB5099">
        <w:rPr>
          <w:rFonts w:ascii="Arial" w:hAnsi="Arial" w:cs="Arial"/>
          <w:sz w:val="24"/>
          <w:szCs w:val="24"/>
        </w:rPr>
        <w:t>the</w:t>
      </w:r>
      <w:r w:rsidR="006144FF" w:rsidRPr="00FB5099">
        <w:rPr>
          <w:rFonts w:ascii="Arial" w:hAnsi="Arial" w:cs="Arial"/>
          <w:sz w:val="24"/>
          <w:szCs w:val="24"/>
        </w:rPr>
        <w:t xml:space="preserve"> Disability Employment Action Plan – Working Matters </w:t>
      </w:r>
      <w:r w:rsidR="00FB5099" w:rsidRPr="00FB5099">
        <w:rPr>
          <w:rFonts w:ascii="Arial" w:hAnsi="Arial" w:cs="Arial"/>
          <w:sz w:val="24"/>
          <w:szCs w:val="24"/>
        </w:rPr>
        <w:t>– aims to ensure disabled people and people with health conditions have an equal opportunity to access employment. One of the areas of focus for this action plan is around</w:t>
      </w:r>
      <w:r w:rsidR="00504FDC" w:rsidRPr="00FB5099">
        <w:rPr>
          <w:rFonts w:ascii="Arial" w:hAnsi="Arial" w:cs="Arial"/>
          <w:sz w:val="24"/>
          <w:szCs w:val="24"/>
        </w:rPr>
        <w:t xml:space="preserve"> action</w:t>
      </w:r>
      <w:r w:rsidR="00FB5099" w:rsidRPr="00FB5099">
        <w:rPr>
          <w:rFonts w:ascii="Arial" w:hAnsi="Arial" w:cs="Arial"/>
          <w:sz w:val="24"/>
          <w:szCs w:val="24"/>
        </w:rPr>
        <w:t>s</w:t>
      </w:r>
      <w:r w:rsidR="00504FDC" w:rsidRPr="00FB5099">
        <w:rPr>
          <w:rFonts w:ascii="Arial" w:hAnsi="Arial" w:cs="Arial"/>
          <w:sz w:val="24"/>
          <w:szCs w:val="24"/>
        </w:rPr>
        <w:t xml:space="preserve"> </w:t>
      </w:r>
      <w:r w:rsidR="006144FF" w:rsidRPr="00FB5099">
        <w:rPr>
          <w:rFonts w:ascii="Arial" w:hAnsi="Arial" w:cs="Arial"/>
          <w:sz w:val="24"/>
          <w:szCs w:val="24"/>
        </w:rPr>
        <w:t xml:space="preserve">to improve transitions for disabled </w:t>
      </w:r>
      <w:r w:rsidR="00782186">
        <w:rPr>
          <w:rFonts w:ascii="Arial" w:hAnsi="Arial" w:cs="Arial"/>
          <w:sz w:val="24"/>
          <w:szCs w:val="24"/>
        </w:rPr>
        <w:t>learners</w:t>
      </w:r>
      <w:r w:rsidR="006144FF" w:rsidRPr="00FB5099">
        <w:rPr>
          <w:rFonts w:ascii="Arial" w:hAnsi="Arial" w:cs="Arial"/>
          <w:sz w:val="24"/>
          <w:szCs w:val="24"/>
        </w:rPr>
        <w:t xml:space="preserve"> </w:t>
      </w:r>
      <w:r w:rsidR="006144FF" w:rsidRPr="00FB5099">
        <w:rPr>
          <w:rFonts w:ascii="Arial" w:hAnsi="Arial" w:cs="Arial"/>
          <w:sz w:val="24"/>
          <w:szCs w:val="24"/>
        </w:rPr>
        <w:lastRenderedPageBreak/>
        <w:t xml:space="preserve">through building early connections to work and considering how employment services can best support transitions. </w:t>
      </w:r>
    </w:p>
    <w:p w14:paraId="25CD9E01" w14:textId="53713AD1" w:rsidR="006144FF" w:rsidRPr="00963997" w:rsidRDefault="006144FF" w:rsidP="005D59CC">
      <w:pPr>
        <w:pStyle w:val="ListParagraph"/>
        <w:numPr>
          <w:ilvl w:val="1"/>
          <w:numId w:val="4"/>
        </w:numPr>
        <w:spacing w:before="120" w:after="120" w:line="240" w:lineRule="atLeast"/>
        <w:contextualSpacing w:val="0"/>
        <w:rPr>
          <w:rFonts w:ascii="Arial" w:hAnsi="Arial" w:cs="Arial"/>
          <w:sz w:val="24"/>
          <w:szCs w:val="24"/>
        </w:rPr>
      </w:pPr>
      <w:r w:rsidRPr="00963997">
        <w:rPr>
          <w:rFonts w:ascii="Arial" w:hAnsi="Arial" w:cs="Arial"/>
          <w:sz w:val="24"/>
          <w:szCs w:val="24"/>
        </w:rPr>
        <w:t xml:space="preserve">the Carers Strategy Action Plan – </w:t>
      </w:r>
      <w:r w:rsidRPr="00FD362D">
        <w:rPr>
          <w:rFonts w:ascii="Arial" w:hAnsi="Arial" w:cs="Arial"/>
          <w:sz w:val="24"/>
          <w:szCs w:val="24"/>
        </w:rPr>
        <w:t>Mahi Aroha</w:t>
      </w:r>
      <w:r w:rsidRPr="00963997">
        <w:rPr>
          <w:rFonts w:ascii="Arial" w:hAnsi="Arial" w:cs="Arial"/>
          <w:sz w:val="24"/>
          <w:szCs w:val="24"/>
        </w:rPr>
        <w:t xml:space="preserve"> – </w:t>
      </w:r>
      <w:r w:rsidR="005A4A4F">
        <w:rPr>
          <w:rFonts w:ascii="Arial" w:hAnsi="Arial" w:cs="Arial"/>
          <w:sz w:val="24"/>
          <w:szCs w:val="24"/>
        </w:rPr>
        <w:t>a</w:t>
      </w:r>
      <w:r w:rsidRPr="00963997">
        <w:rPr>
          <w:rFonts w:ascii="Arial" w:hAnsi="Arial" w:cs="Arial"/>
          <w:sz w:val="24"/>
          <w:szCs w:val="24"/>
        </w:rPr>
        <w:t>ction 4.2 aims to support flexible study, training and education opportunities, support young carers into their first job or transition from secondary to tertiary study</w:t>
      </w:r>
      <w:r w:rsidR="005A4A4F">
        <w:rPr>
          <w:rFonts w:ascii="Arial" w:hAnsi="Arial" w:cs="Arial"/>
          <w:sz w:val="24"/>
          <w:szCs w:val="24"/>
        </w:rPr>
        <w:t>,</w:t>
      </w:r>
      <w:r w:rsidRPr="00963997">
        <w:rPr>
          <w:rFonts w:ascii="Arial" w:hAnsi="Arial" w:cs="Arial"/>
          <w:sz w:val="24"/>
          <w:szCs w:val="24"/>
        </w:rPr>
        <w:t xml:space="preserve"> and explore ways to credit skills and experience towards training, qualifications and/or employment. </w:t>
      </w:r>
    </w:p>
    <w:p w14:paraId="5C335F9B" w14:textId="77777777" w:rsidR="006144FF" w:rsidRPr="00963997" w:rsidRDefault="006144FF" w:rsidP="005D59CC">
      <w:pPr>
        <w:pStyle w:val="ListParagraph"/>
        <w:numPr>
          <w:ilvl w:val="1"/>
          <w:numId w:val="4"/>
        </w:numPr>
        <w:spacing w:before="120" w:after="120" w:line="240" w:lineRule="atLeast"/>
        <w:contextualSpacing w:val="0"/>
        <w:rPr>
          <w:rFonts w:ascii="Arial" w:hAnsi="Arial" w:cs="Arial"/>
          <w:sz w:val="24"/>
          <w:szCs w:val="24"/>
        </w:rPr>
      </w:pPr>
      <w:r w:rsidRPr="00963997">
        <w:rPr>
          <w:rFonts w:ascii="Arial" w:hAnsi="Arial" w:cs="Arial"/>
          <w:sz w:val="24"/>
          <w:szCs w:val="24"/>
        </w:rPr>
        <w:t>the Child and Youth Wellbeing Strategy has a focus area to support young people in and transitioning out of the education system.</w:t>
      </w:r>
    </w:p>
    <w:p w14:paraId="6ED84B48" w14:textId="63F92AE4" w:rsidR="001A5AE8" w:rsidRPr="00963997" w:rsidRDefault="006144FF" w:rsidP="005D59CC">
      <w:pPr>
        <w:pStyle w:val="ListParagraph"/>
        <w:numPr>
          <w:ilvl w:val="1"/>
          <w:numId w:val="4"/>
        </w:numPr>
        <w:spacing w:before="120" w:after="120" w:line="240" w:lineRule="atLeast"/>
        <w:contextualSpacing w:val="0"/>
        <w:rPr>
          <w:rFonts w:ascii="Arial" w:hAnsi="Arial" w:cs="Arial"/>
          <w:sz w:val="24"/>
          <w:szCs w:val="24"/>
        </w:rPr>
      </w:pPr>
      <w:r w:rsidRPr="00963997">
        <w:rPr>
          <w:rFonts w:ascii="Arial" w:hAnsi="Arial" w:cs="Arial"/>
          <w:sz w:val="24"/>
          <w:szCs w:val="24"/>
        </w:rPr>
        <w:t xml:space="preserve">the Development of Industry Transformation Plans, which are intended to grow more innovative industries and lift the productivity, </w:t>
      </w:r>
      <w:proofErr w:type="gramStart"/>
      <w:r w:rsidRPr="00963997">
        <w:rPr>
          <w:rFonts w:ascii="Arial" w:hAnsi="Arial" w:cs="Arial"/>
          <w:sz w:val="24"/>
          <w:szCs w:val="24"/>
        </w:rPr>
        <w:t>sustainability</w:t>
      </w:r>
      <w:proofErr w:type="gramEnd"/>
      <w:r w:rsidRPr="00963997">
        <w:rPr>
          <w:rFonts w:ascii="Arial" w:hAnsi="Arial" w:cs="Arial"/>
          <w:sz w:val="24"/>
          <w:szCs w:val="24"/>
        </w:rPr>
        <w:t xml:space="preserve"> and inclusivity of New Zealand’s sectors.  </w:t>
      </w:r>
      <w:bookmarkEnd w:id="0"/>
    </w:p>
    <w:p w14:paraId="59C94655" w14:textId="5C5A7508" w:rsidR="009171B1" w:rsidRPr="00FD362D" w:rsidRDefault="009171B1" w:rsidP="005D59CC">
      <w:pPr>
        <w:spacing w:before="120" w:after="120" w:line="240" w:lineRule="atLeast"/>
        <w:rPr>
          <w:rFonts w:ascii="Arial" w:hAnsi="Arial" w:cs="Arial"/>
          <w:sz w:val="24"/>
        </w:rPr>
      </w:pPr>
      <w:r w:rsidRPr="00FD362D">
        <w:rPr>
          <w:rFonts w:ascii="Arial" w:hAnsi="Arial" w:cs="Arial"/>
          <w:sz w:val="24"/>
        </w:rPr>
        <w:t>Other work include</w:t>
      </w:r>
      <w:r w:rsidR="00782186">
        <w:rPr>
          <w:rFonts w:ascii="Arial" w:hAnsi="Arial" w:cs="Arial"/>
          <w:sz w:val="24"/>
        </w:rPr>
        <w:t>s</w:t>
      </w:r>
      <w:r w:rsidRPr="00FD362D">
        <w:rPr>
          <w:rFonts w:ascii="Arial" w:hAnsi="Arial" w:cs="Arial"/>
          <w:sz w:val="24"/>
        </w:rPr>
        <w:t xml:space="preserve"> the Employment Action Plans for Māori, Pacific Peoples, Refugees, Recent Migrants and Ethnic Communities and Women that are underway and are focussed on more effectively addressing employment issues for specific population groups. Employment Action Plans for Youth and Disabled People (Working Matters) have also been completed and work is underway to carry out actions under these plans</w:t>
      </w:r>
      <w:r w:rsidR="00FD362D">
        <w:rPr>
          <w:rFonts w:ascii="Arial" w:hAnsi="Arial" w:cs="Arial"/>
          <w:sz w:val="24"/>
        </w:rPr>
        <w:t xml:space="preserve">, which are </w:t>
      </w:r>
      <w:r w:rsidRPr="00FD362D">
        <w:rPr>
          <w:rFonts w:ascii="Arial" w:hAnsi="Arial" w:cs="Arial"/>
          <w:sz w:val="24"/>
        </w:rPr>
        <w:t xml:space="preserve">closely related to the </w:t>
      </w:r>
      <w:r w:rsidR="00AE3D2A">
        <w:rPr>
          <w:rFonts w:ascii="Arial" w:hAnsi="Arial" w:cs="Arial"/>
          <w:sz w:val="24"/>
        </w:rPr>
        <w:t>Briefing</w:t>
      </w:r>
      <w:r w:rsidRPr="00FD362D">
        <w:rPr>
          <w:rFonts w:ascii="Arial" w:hAnsi="Arial" w:cs="Arial"/>
          <w:sz w:val="24"/>
        </w:rPr>
        <w:t>.</w:t>
      </w:r>
    </w:p>
    <w:p w14:paraId="68EF6097" w14:textId="77777777" w:rsidR="009171B1" w:rsidRPr="00963997" w:rsidRDefault="009171B1" w:rsidP="005D59CC">
      <w:pPr>
        <w:spacing w:before="120" w:after="120" w:line="240" w:lineRule="atLeast"/>
        <w:rPr>
          <w:rFonts w:ascii="Arial" w:hAnsi="Arial" w:cs="Arial"/>
          <w:sz w:val="24"/>
        </w:rPr>
      </w:pPr>
    </w:p>
    <w:sectPr w:rsidR="009171B1" w:rsidRPr="00963997" w:rsidSect="00D66734">
      <w:footerReference w:type="default" r:id="rId8"/>
      <w:headerReference w:type="first" r:id="rId9"/>
      <w:pgSz w:w="11906" w:h="16838"/>
      <w:pgMar w:top="1440" w:right="1440" w:bottom="1440" w:left="1440" w:header="708" w:footer="2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9531D" w14:textId="77777777" w:rsidR="000778A6" w:rsidRDefault="000778A6" w:rsidP="000309F9">
      <w:r>
        <w:separator/>
      </w:r>
    </w:p>
    <w:p w14:paraId="15863184" w14:textId="77777777" w:rsidR="000778A6" w:rsidRDefault="000778A6"/>
  </w:endnote>
  <w:endnote w:type="continuationSeparator" w:id="0">
    <w:p w14:paraId="50988B6A" w14:textId="77777777" w:rsidR="000778A6" w:rsidRDefault="000778A6" w:rsidP="000309F9">
      <w:r>
        <w:continuationSeparator/>
      </w:r>
    </w:p>
    <w:p w14:paraId="07294E9B" w14:textId="77777777" w:rsidR="000778A6" w:rsidRDefault="000778A6"/>
  </w:endnote>
  <w:endnote w:type="continuationNotice" w:id="1">
    <w:p w14:paraId="1F1C28A8" w14:textId="77777777" w:rsidR="000778A6" w:rsidRDefault="000778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6904017"/>
      <w:docPartObj>
        <w:docPartGallery w:val="Page Numbers (Bottom of Page)"/>
        <w:docPartUnique/>
      </w:docPartObj>
    </w:sdtPr>
    <w:sdtEndPr>
      <w:rPr>
        <w:noProof/>
      </w:rPr>
    </w:sdtEndPr>
    <w:sdtContent>
      <w:p w14:paraId="1BD94B3C" w14:textId="5B309DFE" w:rsidR="00237F2A" w:rsidRDefault="00237F2A">
        <w:pPr>
          <w:pStyle w:val="Footer"/>
        </w:pPr>
        <w:r>
          <w:fldChar w:fldCharType="begin"/>
        </w:r>
        <w:r>
          <w:instrText xml:space="preserve"> PAGE   \* MERGEFORMAT </w:instrText>
        </w:r>
        <w:r>
          <w:fldChar w:fldCharType="separate"/>
        </w:r>
        <w:r>
          <w:rPr>
            <w:noProof/>
          </w:rPr>
          <w:t>48</w:t>
        </w:r>
        <w:r>
          <w:rPr>
            <w:noProof/>
          </w:rPr>
          <w:fldChar w:fldCharType="end"/>
        </w:r>
      </w:p>
    </w:sdtContent>
  </w:sdt>
  <w:p w14:paraId="7A27FD4F" w14:textId="3ABC7A6D" w:rsidR="00237F2A" w:rsidRDefault="00237F2A">
    <w:pPr>
      <w:pStyle w:val="Footer"/>
    </w:pPr>
  </w:p>
  <w:p w14:paraId="6B2DA899" w14:textId="77777777" w:rsidR="00237F2A" w:rsidRDefault="00237F2A" w:rsidP="004B39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2F711" w14:textId="77777777" w:rsidR="000778A6" w:rsidRDefault="000778A6" w:rsidP="000309F9">
      <w:r>
        <w:separator/>
      </w:r>
    </w:p>
    <w:p w14:paraId="644D1B52" w14:textId="77777777" w:rsidR="000778A6" w:rsidRDefault="000778A6"/>
  </w:footnote>
  <w:footnote w:type="continuationSeparator" w:id="0">
    <w:p w14:paraId="00D7FD54" w14:textId="77777777" w:rsidR="000778A6" w:rsidRDefault="000778A6" w:rsidP="000309F9">
      <w:r>
        <w:continuationSeparator/>
      </w:r>
    </w:p>
    <w:p w14:paraId="791E3157" w14:textId="77777777" w:rsidR="000778A6" w:rsidRDefault="000778A6"/>
  </w:footnote>
  <w:footnote w:type="continuationNotice" w:id="1">
    <w:p w14:paraId="41A50E40" w14:textId="77777777" w:rsidR="000778A6" w:rsidRDefault="000778A6"/>
  </w:footnote>
  <w:footnote w:id="2">
    <w:p w14:paraId="771790AF" w14:textId="77777777" w:rsidR="00607C88" w:rsidRPr="00FD69B2" w:rsidRDefault="00607C88" w:rsidP="00607C88">
      <w:pPr>
        <w:pStyle w:val="FootnoteText"/>
        <w:rPr>
          <w:rFonts w:ascii="Arial" w:hAnsi="Arial" w:cs="Arial"/>
        </w:rPr>
      </w:pPr>
      <w:r w:rsidRPr="00FD69B2">
        <w:rPr>
          <w:rStyle w:val="FootnoteReference"/>
          <w:rFonts w:ascii="Arial" w:hAnsi="Arial" w:cs="Arial"/>
        </w:rPr>
        <w:footnoteRef/>
      </w:r>
      <w:r w:rsidRPr="00FD69B2">
        <w:rPr>
          <w:rFonts w:ascii="Arial" w:hAnsi="Arial" w:cs="Arial"/>
        </w:rPr>
        <w:t xml:space="preserve"> For the purposes of the analysis this did not count people who were in New Zealand for fewer than 335 days in the year, those who had completed a bachelor’s degree and/or self-employed people.</w:t>
      </w:r>
    </w:p>
  </w:footnote>
  <w:footnote w:id="3">
    <w:p w14:paraId="3DA18A88" w14:textId="22E71AF5" w:rsidR="00504FDC" w:rsidRDefault="00504FDC">
      <w:pPr>
        <w:pStyle w:val="FootnoteText"/>
      </w:pPr>
      <w:r>
        <w:rPr>
          <w:rStyle w:val="FootnoteReference"/>
        </w:rPr>
        <w:footnoteRef/>
      </w:r>
      <w:r>
        <w:t xml:space="preserve"> </w:t>
      </w:r>
      <w:r w:rsidR="00FB5099">
        <w:t>LGBTQIA+ includes individuals who identify as Lesbian, Gay, Bisexual, Transgender, Queer, Intersex, Asexual and other rainbow identities outside of those mentioned.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5AA99" w14:textId="593D7589" w:rsidR="00D66734" w:rsidRDefault="00D66734">
    <w:pPr>
      <w:pStyle w:val="Header"/>
    </w:pPr>
    <w:r w:rsidRPr="00D66734">
      <w:drawing>
        <wp:anchor distT="0" distB="0" distL="114300" distR="114300" simplePos="0" relativeHeight="251661312" behindDoc="0" locked="0" layoutInCell="1" allowOverlap="1" wp14:anchorId="4D78201B" wp14:editId="7E77ABB8">
          <wp:simplePos x="0" y="0"/>
          <wp:positionH relativeFrom="column">
            <wp:posOffset>-781050</wp:posOffset>
          </wp:positionH>
          <wp:positionV relativeFrom="paragraph">
            <wp:posOffset>-198120</wp:posOffset>
          </wp:positionV>
          <wp:extent cx="2193290" cy="506730"/>
          <wp:effectExtent l="0" t="0" r="0" b="7620"/>
          <wp:wrapNone/>
          <wp:docPr id="10" name="Picture 9" descr="A picture containing text&#10;&#10;Description automatically generated">
            <a:extLst xmlns:a="http://schemas.openxmlformats.org/drawingml/2006/main">
              <a:ext uri="{FF2B5EF4-FFF2-40B4-BE49-F238E27FC236}">
                <a16:creationId xmlns:a16="http://schemas.microsoft.com/office/drawing/2014/main" id="{07D44DF3-FE5D-49A6-AEFB-1EFCE2B86D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picture containing text&#10;&#10;Description automatically generated">
                    <a:extLst>
                      <a:ext uri="{FF2B5EF4-FFF2-40B4-BE49-F238E27FC236}">
                        <a16:creationId xmlns:a16="http://schemas.microsoft.com/office/drawing/2014/main" id="{07D44DF3-FE5D-49A6-AEFB-1EFCE2B86DD8}"/>
                      </a:ext>
                    </a:extLst>
                  </pic:cNvPr>
                  <pic:cNvPicPr>
                    <a:picLocks noChangeAspect="1"/>
                  </pic:cNvPicPr>
                </pic:nvPicPr>
                <pic:blipFill>
                  <a:blip r:embed="rId1">
                    <a:extLst>
                      <a:ext uri="{BEBA8EAE-BF5A-486C-A8C5-ECC9F3942E4B}">
                        <a14:imgProps xmlns:a14="http://schemas.microsoft.com/office/drawing/2010/main">
                          <a14:imgLayer r:embed="rId2">
                            <a14:imgEffect>
                              <a14:saturation sat="0"/>
                            </a14:imgEffect>
                            <a14:imgEffect>
                              <a14:brightnessContrast contrast="40000"/>
                            </a14:imgEffect>
                          </a14:imgLayer>
                        </a14:imgProps>
                      </a:ext>
                    </a:extLst>
                  </a:blip>
                  <a:stretch>
                    <a:fillRect/>
                  </a:stretch>
                </pic:blipFill>
                <pic:spPr>
                  <a:xfrm>
                    <a:off x="0" y="0"/>
                    <a:ext cx="2193290" cy="506730"/>
                  </a:xfrm>
                  <a:prstGeom prst="rect">
                    <a:avLst/>
                  </a:prstGeom>
                </pic:spPr>
              </pic:pic>
            </a:graphicData>
          </a:graphic>
        </wp:anchor>
      </w:drawing>
    </w:r>
    <w:r w:rsidRPr="00D66734">
      <w:drawing>
        <wp:anchor distT="0" distB="0" distL="114300" distR="114300" simplePos="0" relativeHeight="251660288" behindDoc="0" locked="0" layoutInCell="1" allowOverlap="1" wp14:anchorId="4F88421E" wp14:editId="31EA2419">
          <wp:simplePos x="0" y="0"/>
          <wp:positionH relativeFrom="column">
            <wp:posOffset>1718310</wp:posOffset>
          </wp:positionH>
          <wp:positionV relativeFrom="paragraph">
            <wp:posOffset>-429260</wp:posOffset>
          </wp:positionV>
          <wp:extent cx="1938655" cy="926465"/>
          <wp:effectExtent l="0" t="0" r="4445" b="6985"/>
          <wp:wrapNone/>
          <wp:docPr id="8" name="Picture 7" descr="A picture containing text&#10;&#10;Description automatically generated">
            <a:extLst xmlns:a="http://schemas.openxmlformats.org/drawingml/2006/main">
              <a:ext uri="{FF2B5EF4-FFF2-40B4-BE49-F238E27FC236}">
                <a16:creationId xmlns:a16="http://schemas.microsoft.com/office/drawing/2014/main" id="{FF36E5C0-9D99-4BD8-B3CF-21162AEB5D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text&#10;&#10;Description automatically generated">
                    <a:extLst>
                      <a:ext uri="{FF2B5EF4-FFF2-40B4-BE49-F238E27FC236}">
                        <a16:creationId xmlns:a16="http://schemas.microsoft.com/office/drawing/2014/main" id="{FF36E5C0-9D99-4BD8-B3CF-21162AEB5D85}"/>
                      </a:ext>
                    </a:extLst>
                  </pic:cNvPr>
                  <pic:cNvPicPr>
                    <a:picLocks noChangeAspect="1"/>
                  </pic:cNvPicPr>
                </pic:nvPicPr>
                <pic:blipFill>
                  <a:blip r:embed="rId3"/>
                  <a:stretch>
                    <a:fillRect/>
                  </a:stretch>
                </pic:blipFill>
                <pic:spPr>
                  <a:xfrm>
                    <a:off x="0" y="0"/>
                    <a:ext cx="1938655" cy="926465"/>
                  </a:xfrm>
                  <a:prstGeom prst="rect">
                    <a:avLst/>
                  </a:prstGeom>
                </pic:spPr>
              </pic:pic>
            </a:graphicData>
          </a:graphic>
        </wp:anchor>
      </w:drawing>
    </w:r>
    <w:r w:rsidRPr="00D66734">
      <w:drawing>
        <wp:anchor distT="0" distB="0" distL="114300" distR="114300" simplePos="0" relativeHeight="251659264" behindDoc="0" locked="0" layoutInCell="1" allowOverlap="1" wp14:anchorId="0A5F41B3" wp14:editId="608481CF">
          <wp:simplePos x="0" y="0"/>
          <wp:positionH relativeFrom="column">
            <wp:posOffset>4019550</wp:posOffset>
          </wp:positionH>
          <wp:positionV relativeFrom="paragraph">
            <wp:posOffset>-200025</wp:posOffset>
          </wp:positionV>
          <wp:extent cx="2493010" cy="523240"/>
          <wp:effectExtent l="0" t="0" r="2540" b="0"/>
          <wp:wrapNone/>
          <wp:docPr id="9" name="Picture 8" descr="Text, letter&#10;&#10;Description automatically generated">
            <a:extLst xmlns:a="http://schemas.openxmlformats.org/drawingml/2006/main">
              <a:ext uri="{FF2B5EF4-FFF2-40B4-BE49-F238E27FC236}">
                <a16:creationId xmlns:a16="http://schemas.microsoft.com/office/drawing/2014/main" id="{BBCB0A1A-653E-43FD-8BDD-4365A5120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ext, letter&#10;&#10;Description automatically generated">
                    <a:extLst>
                      <a:ext uri="{FF2B5EF4-FFF2-40B4-BE49-F238E27FC236}">
                        <a16:creationId xmlns:a16="http://schemas.microsoft.com/office/drawing/2014/main" id="{BBCB0A1A-653E-43FD-8BDD-4365A5120A38}"/>
                      </a:ext>
                    </a:extLst>
                  </pic:cNvPr>
                  <pic:cNvPicPr>
                    <a:picLocks noChangeAspect="1"/>
                  </pic:cNvPicPr>
                </pic:nvPicPr>
                <pic:blipFill rotWithShape="1">
                  <a:blip r:embed="rId4">
                    <a:extLst>
                      <a:ext uri="{BEBA8EAE-BF5A-486C-A8C5-ECC9F3942E4B}">
                        <a14:imgProps xmlns:a14="http://schemas.microsoft.com/office/drawing/2010/main">
                          <a14:imgLayer r:embed="rId5">
                            <a14:imgEffect>
                              <a14:brightnessContrast contrast="40000"/>
                            </a14:imgEffect>
                          </a14:imgLayer>
                        </a14:imgProps>
                      </a:ext>
                    </a:extLst>
                  </a:blip>
                  <a:srcRect l="6778" t="34356" r="6667" b="36570"/>
                  <a:stretch/>
                </pic:blipFill>
                <pic:spPr>
                  <a:xfrm>
                    <a:off x="0" y="0"/>
                    <a:ext cx="2493010" cy="5232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40472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C4579"/>
    <w:multiLevelType w:val="hybridMultilevel"/>
    <w:tmpl w:val="CB68CAAC"/>
    <w:lvl w:ilvl="0" w:tplc="14090001">
      <w:start w:val="1"/>
      <w:numFmt w:val="bullet"/>
      <w:lvlText w:val=""/>
      <w:lvlJc w:val="left"/>
      <w:pPr>
        <w:ind w:left="720" w:hanging="360"/>
      </w:pPr>
      <w:rPr>
        <w:rFonts w:ascii="Symbol" w:hAnsi="Symbol"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BC4D7F"/>
    <w:multiLevelType w:val="hybridMultilevel"/>
    <w:tmpl w:val="66DEACA0"/>
    <w:lvl w:ilvl="0" w:tplc="14090001">
      <w:start w:val="1"/>
      <w:numFmt w:val="bullet"/>
      <w:lvlText w:val=""/>
      <w:lvlJc w:val="left"/>
      <w:pPr>
        <w:ind w:left="720" w:hanging="360"/>
      </w:pPr>
      <w:rPr>
        <w:rFonts w:ascii="Symbol" w:hAnsi="Symbol" w:hint="default"/>
        <w:b w:val="0"/>
      </w:rPr>
    </w:lvl>
    <w:lvl w:ilvl="1" w:tplc="7A768DBC">
      <w:start w:val="1"/>
      <w:numFmt w:val="lowerLetter"/>
      <w:lvlText w:val="%2."/>
      <w:lvlJc w:val="left"/>
      <w:pPr>
        <w:ind w:left="1440" w:hanging="360"/>
      </w:pPr>
      <w:rPr>
        <w:b w:val="0"/>
      </w:rPr>
    </w:lvl>
    <w:lvl w:ilvl="2" w:tplc="E72650F8">
      <w:start w:val="1"/>
      <w:numFmt w:val="lowerRoman"/>
      <w:lvlText w:val="%3."/>
      <w:lvlJc w:val="right"/>
      <w:pPr>
        <w:ind w:left="2160" w:hanging="180"/>
      </w:pPr>
      <w:rPr>
        <w:b w:val="0"/>
      </w:r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50F2E37"/>
    <w:multiLevelType w:val="hybridMultilevel"/>
    <w:tmpl w:val="6BA86C5E"/>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05ED028B"/>
    <w:multiLevelType w:val="hybridMultilevel"/>
    <w:tmpl w:val="7DF82436"/>
    <w:lvl w:ilvl="0" w:tplc="14090001">
      <w:start w:val="1"/>
      <w:numFmt w:val="bullet"/>
      <w:lvlText w:val=""/>
      <w:lvlJc w:val="left"/>
      <w:pPr>
        <w:ind w:left="720" w:hanging="360"/>
      </w:pPr>
      <w:rPr>
        <w:rFonts w:ascii="Symbol" w:hAnsi="Symbol" w:hint="default"/>
        <w:b w:val="0"/>
      </w:rPr>
    </w:lvl>
    <w:lvl w:ilvl="1" w:tplc="7A768DBC">
      <w:start w:val="1"/>
      <w:numFmt w:val="lowerLetter"/>
      <w:lvlText w:val="%2."/>
      <w:lvlJc w:val="left"/>
      <w:pPr>
        <w:ind w:left="1440" w:hanging="360"/>
      </w:pPr>
      <w:rPr>
        <w:b w:val="0"/>
      </w:rPr>
    </w:lvl>
    <w:lvl w:ilvl="2" w:tplc="E72650F8">
      <w:start w:val="1"/>
      <w:numFmt w:val="lowerRoman"/>
      <w:lvlText w:val="%3."/>
      <w:lvlJc w:val="right"/>
      <w:pPr>
        <w:ind w:left="2160" w:hanging="180"/>
      </w:pPr>
      <w:rPr>
        <w:b w:val="0"/>
      </w:r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60C3D08"/>
    <w:multiLevelType w:val="hybridMultilevel"/>
    <w:tmpl w:val="1EDAECFE"/>
    <w:lvl w:ilvl="0" w:tplc="3FC03D92">
      <w:start w:val="1"/>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6DF3C00"/>
    <w:multiLevelType w:val="hybridMultilevel"/>
    <w:tmpl w:val="12B88A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7A3202A"/>
    <w:multiLevelType w:val="hybridMultilevel"/>
    <w:tmpl w:val="4120C0DE"/>
    <w:lvl w:ilvl="0" w:tplc="3FC03D92">
      <w:start w:val="1"/>
      <w:numFmt w:val="bullet"/>
      <w:lvlText w:val="-"/>
      <w:lvlJc w:val="left"/>
      <w:pPr>
        <w:ind w:left="1072" w:hanging="360"/>
      </w:pPr>
      <w:rPr>
        <w:rFonts w:ascii="Calibri" w:eastAsia="Times New Roman" w:hAnsi="Calibri" w:cs="Calibri" w:hint="default"/>
      </w:rPr>
    </w:lvl>
    <w:lvl w:ilvl="1" w:tplc="14090003" w:tentative="1">
      <w:start w:val="1"/>
      <w:numFmt w:val="bullet"/>
      <w:lvlText w:val="o"/>
      <w:lvlJc w:val="left"/>
      <w:pPr>
        <w:ind w:left="1792" w:hanging="360"/>
      </w:pPr>
      <w:rPr>
        <w:rFonts w:ascii="Courier New" w:hAnsi="Courier New" w:cs="Courier New" w:hint="default"/>
      </w:rPr>
    </w:lvl>
    <w:lvl w:ilvl="2" w:tplc="14090005" w:tentative="1">
      <w:start w:val="1"/>
      <w:numFmt w:val="bullet"/>
      <w:lvlText w:val=""/>
      <w:lvlJc w:val="left"/>
      <w:pPr>
        <w:ind w:left="2512" w:hanging="360"/>
      </w:pPr>
      <w:rPr>
        <w:rFonts w:ascii="Wingdings" w:hAnsi="Wingdings" w:hint="default"/>
      </w:rPr>
    </w:lvl>
    <w:lvl w:ilvl="3" w:tplc="14090001" w:tentative="1">
      <w:start w:val="1"/>
      <w:numFmt w:val="bullet"/>
      <w:lvlText w:val=""/>
      <w:lvlJc w:val="left"/>
      <w:pPr>
        <w:ind w:left="3232" w:hanging="360"/>
      </w:pPr>
      <w:rPr>
        <w:rFonts w:ascii="Symbol" w:hAnsi="Symbol" w:hint="default"/>
      </w:rPr>
    </w:lvl>
    <w:lvl w:ilvl="4" w:tplc="14090003" w:tentative="1">
      <w:start w:val="1"/>
      <w:numFmt w:val="bullet"/>
      <w:lvlText w:val="o"/>
      <w:lvlJc w:val="left"/>
      <w:pPr>
        <w:ind w:left="3952" w:hanging="360"/>
      </w:pPr>
      <w:rPr>
        <w:rFonts w:ascii="Courier New" w:hAnsi="Courier New" w:cs="Courier New" w:hint="default"/>
      </w:rPr>
    </w:lvl>
    <w:lvl w:ilvl="5" w:tplc="14090005" w:tentative="1">
      <w:start w:val="1"/>
      <w:numFmt w:val="bullet"/>
      <w:lvlText w:val=""/>
      <w:lvlJc w:val="left"/>
      <w:pPr>
        <w:ind w:left="4672" w:hanging="360"/>
      </w:pPr>
      <w:rPr>
        <w:rFonts w:ascii="Wingdings" w:hAnsi="Wingdings" w:hint="default"/>
      </w:rPr>
    </w:lvl>
    <w:lvl w:ilvl="6" w:tplc="14090001" w:tentative="1">
      <w:start w:val="1"/>
      <w:numFmt w:val="bullet"/>
      <w:lvlText w:val=""/>
      <w:lvlJc w:val="left"/>
      <w:pPr>
        <w:ind w:left="5392" w:hanging="360"/>
      </w:pPr>
      <w:rPr>
        <w:rFonts w:ascii="Symbol" w:hAnsi="Symbol" w:hint="default"/>
      </w:rPr>
    </w:lvl>
    <w:lvl w:ilvl="7" w:tplc="14090003" w:tentative="1">
      <w:start w:val="1"/>
      <w:numFmt w:val="bullet"/>
      <w:lvlText w:val="o"/>
      <w:lvlJc w:val="left"/>
      <w:pPr>
        <w:ind w:left="6112" w:hanging="360"/>
      </w:pPr>
      <w:rPr>
        <w:rFonts w:ascii="Courier New" w:hAnsi="Courier New" w:cs="Courier New" w:hint="default"/>
      </w:rPr>
    </w:lvl>
    <w:lvl w:ilvl="8" w:tplc="14090005" w:tentative="1">
      <w:start w:val="1"/>
      <w:numFmt w:val="bullet"/>
      <w:lvlText w:val=""/>
      <w:lvlJc w:val="left"/>
      <w:pPr>
        <w:ind w:left="6832" w:hanging="360"/>
      </w:pPr>
      <w:rPr>
        <w:rFonts w:ascii="Wingdings" w:hAnsi="Wingdings" w:hint="default"/>
      </w:rPr>
    </w:lvl>
  </w:abstractNum>
  <w:abstractNum w:abstractNumId="8" w15:restartNumberingAfterBreak="0">
    <w:nsid w:val="0B5616E4"/>
    <w:multiLevelType w:val="hybridMultilevel"/>
    <w:tmpl w:val="DA94DBD6"/>
    <w:lvl w:ilvl="0" w:tplc="1409000F">
      <w:start w:val="1"/>
      <w:numFmt w:val="decimal"/>
      <w:lvlText w:val="%1."/>
      <w:lvlJc w:val="left"/>
      <w:pPr>
        <w:ind w:left="-5400" w:hanging="360"/>
      </w:pPr>
      <w:rPr>
        <w:rFonts w:hint="default"/>
        <w:b w:val="0"/>
      </w:rPr>
    </w:lvl>
    <w:lvl w:ilvl="1" w:tplc="14090001">
      <w:start w:val="1"/>
      <w:numFmt w:val="bullet"/>
      <w:lvlText w:val=""/>
      <w:lvlJc w:val="left"/>
      <w:pPr>
        <w:ind w:left="-4680" w:hanging="360"/>
      </w:pPr>
      <w:rPr>
        <w:rFonts w:ascii="Symbol" w:hAnsi="Symbol" w:hint="default"/>
        <w:b w:val="0"/>
      </w:rPr>
    </w:lvl>
    <w:lvl w:ilvl="2" w:tplc="E72650F8">
      <w:start w:val="1"/>
      <w:numFmt w:val="lowerRoman"/>
      <w:lvlText w:val="%3."/>
      <w:lvlJc w:val="right"/>
      <w:pPr>
        <w:ind w:left="-3960" w:hanging="180"/>
      </w:pPr>
      <w:rPr>
        <w:b w:val="0"/>
      </w:rPr>
    </w:lvl>
    <w:lvl w:ilvl="3" w:tplc="1409000F">
      <w:start w:val="1"/>
      <w:numFmt w:val="decimal"/>
      <w:lvlText w:val="%4."/>
      <w:lvlJc w:val="left"/>
      <w:pPr>
        <w:ind w:left="-3240" w:hanging="360"/>
      </w:pPr>
    </w:lvl>
    <w:lvl w:ilvl="4" w:tplc="7F4E4790">
      <w:start w:val="1"/>
      <w:numFmt w:val="upperRoman"/>
      <w:lvlText w:val="%5."/>
      <w:lvlJc w:val="left"/>
      <w:pPr>
        <w:ind w:left="-2160" w:hanging="720"/>
      </w:pPr>
      <w:rPr>
        <w:rFonts w:hint="default"/>
      </w:rPr>
    </w:lvl>
    <w:lvl w:ilvl="5" w:tplc="1409001B" w:tentative="1">
      <w:start w:val="1"/>
      <w:numFmt w:val="lowerRoman"/>
      <w:lvlText w:val="%6."/>
      <w:lvlJc w:val="right"/>
      <w:pPr>
        <w:ind w:left="-1800" w:hanging="180"/>
      </w:pPr>
    </w:lvl>
    <w:lvl w:ilvl="6" w:tplc="1409000F" w:tentative="1">
      <w:start w:val="1"/>
      <w:numFmt w:val="decimal"/>
      <w:lvlText w:val="%7."/>
      <w:lvlJc w:val="left"/>
      <w:pPr>
        <w:ind w:left="-1080" w:hanging="360"/>
      </w:pPr>
    </w:lvl>
    <w:lvl w:ilvl="7" w:tplc="14090019" w:tentative="1">
      <w:start w:val="1"/>
      <w:numFmt w:val="lowerLetter"/>
      <w:lvlText w:val="%8."/>
      <w:lvlJc w:val="left"/>
      <w:pPr>
        <w:ind w:left="-360" w:hanging="360"/>
      </w:pPr>
    </w:lvl>
    <w:lvl w:ilvl="8" w:tplc="1409001B" w:tentative="1">
      <w:start w:val="1"/>
      <w:numFmt w:val="lowerRoman"/>
      <w:lvlText w:val="%9."/>
      <w:lvlJc w:val="right"/>
      <w:pPr>
        <w:ind w:left="360" w:hanging="180"/>
      </w:pPr>
    </w:lvl>
  </w:abstractNum>
  <w:abstractNum w:abstractNumId="9" w15:restartNumberingAfterBreak="0">
    <w:nsid w:val="123E7DCF"/>
    <w:multiLevelType w:val="hybridMultilevel"/>
    <w:tmpl w:val="FFD068C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132232A8"/>
    <w:multiLevelType w:val="hybridMultilevel"/>
    <w:tmpl w:val="10F04BF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32A678D"/>
    <w:multiLevelType w:val="hybridMultilevel"/>
    <w:tmpl w:val="B29810DA"/>
    <w:lvl w:ilvl="0" w:tplc="14090001">
      <w:start w:val="1"/>
      <w:numFmt w:val="bullet"/>
      <w:lvlText w:val=""/>
      <w:lvlJc w:val="left"/>
      <w:pPr>
        <w:ind w:left="720" w:hanging="360"/>
      </w:pPr>
      <w:rPr>
        <w:rFonts w:ascii="Symbol" w:hAnsi="Symbol"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361338A"/>
    <w:multiLevelType w:val="hybridMultilevel"/>
    <w:tmpl w:val="07C09A86"/>
    <w:lvl w:ilvl="0" w:tplc="14090001">
      <w:start w:val="1"/>
      <w:numFmt w:val="bullet"/>
      <w:lvlText w:val=""/>
      <w:lvlJc w:val="left"/>
      <w:pPr>
        <w:ind w:left="720" w:hanging="360"/>
      </w:pPr>
      <w:rPr>
        <w:rFonts w:ascii="Symbol" w:hAnsi="Symbol"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37060E3"/>
    <w:multiLevelType w:val="hybridMultilevel"/>
    <w:tmpl w:val="43DA58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40405B7"/>
    <w:multiLevelType w:val="hybridMultilevel"/>
    <w:tmpl w:val="36B05C5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4583444"/>
    <w:multiLevelType w:val="hybridMultilevel"/>
    <w:tmpl w:val="BB44B094"/>
    <w:lvl w:ilvl="0" w:tplc="7A768DBC">
      <w:start w:val="1"/>
      <w:numFmt w:val="lowerLetter"/>
      <w:lvlText w:val="%1."/>
      <w:lvlJc w:val="left"/>
      <w:pPr>
        <w:ind w:left="1080" w:hanging="360"/>
      </w:pPr>
      <w:rPr>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154A67AC"/>
    <w:multiLevelType w:val="hybridMultilevel"/>
    <w:tmpl w:val="04EAE1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55216C1"/>
    <w:multiLevelType w:val="hybridMultilevel"/>
    <w:tmpl w:val="1F243168"/>
    <w:lvl w:ilvl="0" w:tplc="14090001">
      <w:start w:val="1"/>
      <w:numFmt w:val="bullet"/>
      <w:lvlText w:val=""/>
      <w:lvlJc w:val="left"/>
      <w:pPr>
        <w:ind w:left="1080" w:hanging="360"/>
      </w:pPr>
      <w:rPr>
        <w:rFonts w:ascii="Symbol" w:hAnsi="Symbol"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1860502F"/>
    <w:multiLevelType w:val="hybridMultilevel"/>
    <w:tmpl w:val="CB02C570"/>
    <w:lvl w:ilvl="0" w:tplc="14090001">
      <w:start w:val="1"/>
      <w:numFmt w:val="bullet"/>
      <w:lvlText w:val=""/>
      <w:lvlJc w:val="left"/>
      <w:pPr>
        <w:ind w:left="360" w:hanging="360"/>
      </w:pPr>
      <w:rPr>
        <w:rFonts w:ascii="Symbol" w:hAnsi="Symbol" w:hint="default"/>
        <w:b w:val="0"/>
      </w:rPr>
    </w:lvl>
    <w:lvl w:ilvl="1" w:tplc="7A768DBC">
      <w:start w:val="1"/>
      <w:numFmt w:val="lowerLetter"/>
      <w:lvlText w:val="%2."/>
      <w:lvlJc w:val="left"/>
      <w:pPr>
        <w:ind w:left="1080" w:hanging="360"/>
      </w:pPr>
      <w:rPr>
        <w:b w:val="0"/>
      </w:rPr>
    </w:lvl>
    <w:lvl w:ilvl="2" w:tplc="E72650F8">
      <w:start w:val="1"/>
      <w:numFmt w:val="lowerRoman"/>
      <w:lvlText w:val="%3."/>
      <w:lvlJc w:val="right"/>
      <w:pPr>
        <w:ind w:left="1800" w:hanging="180"/>
      </w:pPr>
      <w:rPr>
        <w:b w:val="0"/>
      </w:rPr>
    </w:lvl>
    <w:lvl w:ilvl="3" w:tplc="1409000F">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19A03542"/>
    <w:multiLevelType w:val="hybridMultilevel"/>
    <w:tmpl w:val="D1D204DA"/>
    <w:lvl w:ilvl="0" w:tplc="D6A286EE">
      <w:start w:val="1"/>
      <w:numFmt w:val="decimal"/>
      <w:lvlText w:val="%1."/>
      <w:lvlJc w:val="left"/>
      <w:pPr>
        <w:ind w:left="720" w:hanging="360"/>
      </w:pPr>
      <w:rPr>
        <w:rFonts w:hint="default"/>
        <w:b w:val="0"/>
      </w:rPr>
    </w:lvl>
    <w:lvl w:ilvl="1" w:tplc="14090001">
      <w:start w:val="1"/>
      <w:numFmt w:val="bullet"/>
      <w:lvlText w:val=""/>
      <w:lvlJc w:val="left"/>
      <w:pPr>
        <w:ind w:left="1440" w:hanging="360"/>
      </w:pPr>
      <w:rPr>
        <w:rFonts w:ascii="Symbol" w:hAnsi="Symbol" w:hint="default"/>
        <w:b w:val="0"/>
      </w:rPr>
    </w:lvl>
    <w:lvl w:ilvl="2" w:tplc="E72650F8">
      <w:start w:val="1"/>
      <w:numFmt w:val="lowerRoman"/>
      <w:lvlText w:val="%3."/>
      <w:lvlJc w:val="right"/>
      <w:pPr>
        <w:ind w:left="2160" w:hanging="180"/>
      </w:pPr>
      <w:rPr>
        <w:b w:val="0"/>
      </w:r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1AC6422A"/>
    <w:multiLevelType w:val="hybridMultilevel"/>
    <w:tmpl w:val="0728E2FE"/>
    <w:lvl w:ilvl="0" w:tplc="14090001">
      <w:start w:val="1"/>
      <w:numFmt w:val="bullet"/>
      <w:lvlText w:val=""/>
      <w:lvlJc w:val="left"/>
      <w:pPr>
        <w:ind w:left="1080" w:hanging="360"/>
      </w:pPr>
      <w:rPr>
        <w:rFonts w:ascii="Symbol" w:hAnsi="Symbol"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1AD64C86"/>
    <w:multiLevelType w:val="hybridMultilevel"/>
    <w:tmpl w:val="05C008AA"/>
    <w:lvl w:ilvl="0" w:tplc="14090001">
      <w:start w:val="1"/>
      <w:numFmt w:val="bullet"/>
      <w:lvlText w:val=""/>
      <w:lvlJc w:val="left"/>
      <w:pPr>
        <w:ind w:left="405" w:hanging="360"/>
      </w:pPr>
      <w:rPr>
        <w:rFonts w:ascii="Symbol" w:hAnsi="Symbol"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22" w15:restartNumberingAfterBreak="0">
    <w:nsid w:val="1C1B7203"/>
    <w:multiLevelType w:val="hybridMultilevel"/>
    <w:tmpl w:val="29FE7494"/>
    <w:lvl w:ilvl="0" w:tplc="D6A286EE">
      <w:start w:val="1"/>
      <w:numFmt w:val="decimal"/>
      <w:lvlText w:val="%1."/>
      <w:lvlJc w:val="left"/>
      <w:pPr>
        <w:ind w:left="720" w:hanging="360"/>
      </w:pPr>
      <w:rPr>
        <w:rFonts w:hint="default"/>
        <w:b w:val="0"/>
      </w:rPr>
    </w:lvl>
    <w:lvl w:ilvl="1" w:tplc="7A768DBC">
      <w:start w:val="1"/>
      <w:numFmt w:val="lowerLetter"/>
      <w:lvlText w:val="%2."/>
      <w:lvlJc w:val="left"/>
      <w:pPr>
        <w:ind w:left="1440" w:hanging="360"/>
      </w:pPr>
      <w:rPr>
        <w:b w:val="0"/>
      </w:rPr>
    </w:lvl>
    <w:lvl w:ilvl="2" w:tplc="E72650F8">
      <w:start w:val="1"/>
      <w:numFmt w:val="lowerRoman"/>
      <w:lvlText w:val="%3."/>
      <w:lvlJc w:val="right"/>
      <w:pPr>
        <w:ind w:left="2160" w:hanging="180"/>
      </w:pPr>
      <w:rPr>
        <w:b w:val="0"/>
      </w:r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1D254544"/>
    <w:multiLevelType w:val="hybridMultilevel"/>
    <w:tmpl w:val="079E8DC8"/>
    <w:lvl w:ilvl="0" w:tplc="3FC03D92">
      <w:start w:val="1"/>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219204B4"/>
    <w:multiLevelType w:val="hybridMultilevel"/>
    <w:tmpl w:val="BB44B094"/>
    <w:lvl w:ilvl="0" w:tplc="7A768DBC">
      <w:start w:val="1"/>
      <w:numFmt w:val="lowerLetter"/>
      <w:lvlText w:val="%1."/>
      <w:lvlJc w:val="left"/>
      <w:pPr>
        <w:ind w:left="1080" w:hanging="360"/>
      </w:pPr>
      <w:rPr>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233D0F68"/>
    <w:multiLevelType w:val="hybridMultilevel"/>
    <w:tmpl w:val="8B8E395A"/>
    <w:lvl w:ilvl="0" w:tplc="14090001">
      <w:start w:val="1"/>
      <w:numFmt w:val="bullet"/>
      <w:lvlText w:val=""/>
      <w:lvlJc w:val="left"/>
      <w:pPr>
        <w:ind w:left="720" w:hanging="360"/>
      </w:pPr>
      <w:rPr>
        <w:rFonts w:ascii="Symbol" w:hAnsi="Symbol"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250A19DA"/>
    <w:multiLevelType w:val="hybridMultilevel"/>
    <w:tmpl w:val="FAEA9C84"/>
    <w:lvl w:ilvl="0" w:tplc="14090001">
      <w:start w:val="1"/>
      <w:numFmt w:val="bullet"/>
      <w:lvlText w:val=""/>
      <w:lvlJc w:val="left"/>
      <w:pPr>
        <w:ind w:left="405" w:hanging="360"/>
      </w:pPr>
      <w:rPr>
        <w:rFonts w:ascii="Symbol" w:hAnsi="Symbol" w:hint="default"/>
      </w:rPr>
    </w:lvl>
    <w:lvl w:ilvl="1" w:tplc="14090003">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27" w15:restartNumberingAfterBreak="0">
    <w:nsid w:val="2796546F"/>
    <w:multiLevelType w:val="hybridMultilevel"/>
    <w:tmpl w:val="F15ACE38"/>
    <w:lvl w:ilvl="0" w:tplc="14090003">
      <w:start w:val="1"/>
      <w:numFmt w:val="bullet"/>
      <w:lvlText w:val="o"/>
      <w:lvlJc w:val="left"/>
      <w:pPr>
        <w:ind w:left="1080" w:hanging="360"/>
      </w:pPr>
      <w:rPr>
        <w:rFonts w:ascii="Courier New" w:hAnsi="Courier New" w:cs="Courier New"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29670F8C"/>
    <w:multiLevelType w:val="hybridMultilevel"/>
    <w:tmpl w:val="BD748D2E"/>
    <w:lvl w:ilvl="0" w:tplc="85D4903C">
      <w:start w:val="12"/>
      <w:numFmt w:val="bullet"/>
      <w:lvlText w:val="-"/>
      <w:lvlJc w:val="left"/>
      <w:pPr>
        <w:ind w:left="405" w:hanging="360"/>
      </w:pPr>
      <w:rPr>
        <w:rFonts w:ascii="Calibri" w:eastAsiaTheme="minorHAnsi" w:hAnsi="Calibri" w:cs="Calibri"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29" w15:restartNumberingAfterBreak="0">
    <w:nsid w:val="29EE5919"/>
    <w:multiLevelType w:val="hybridMultilevel"/>
    <w:tmpl w:val="B742F75A"/>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2A6B76C3"/>
    <w:multiLevelType w:val="hybridMultilevel"/>
    <w:tmpl w:val="ABE01E1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2ACB6FAC"/>
    <w:multiLevelType w:val="hybridMultilevel"/>
    <w:tmpl w:val="ADA6263C"/>
    <w:lvl w:ilvl="0" w:tplc="3FC03D92">
      <w:start w:val="1"/>
      <w:numFmt w:val="bullet"/>
      <w:lvlText w:val="-"/>
      <w:lvlJc w:val="left"/>
      <w:pPr>
        <w:ind w:left="720" w:hanging="360"/>
      </w:pPr>
      <w:rPr>
        <w:rFonts w:ascii="Calibri" w:eastAsia="Times New Roman" w:hAnsi="Calibri" w:cs="Calibri" w:hint="default"/>
        <w:b w:val="0"/>
      </w:rPr>
    </w:lvl>
    <w:lvl w:ilvl="1" w:tplc="7A768DBC">
      <w:start w:val="1"/>
      <w:numFmt w:val="lowerLetter"/>
      <w:lvlText w:val="%2."/>
      <w:lvlJc w:val="left"/>
      <w:pPr>
        <w:ind w:left="1440" w:hanging="360"/>
      </w:pPr>
      <w:rPr>
        <w:b w:val="0"/>
      </w:rPr>
    </w:lvl>
    <w:lvl w:ilvl="2" w:tplc="E72650F8">
      <w:start w:val="1"/>
      <w:numFmt w:val="lowerRoman"/>
      <w:lvlText w:val="%3."/>
      <w:lvlJc w:val="right"/>
      <w:pPr>
        <w:ind w:left="2160" w:hanging="180"/>
      </w:pPr>
      <w:rPr>
        <w:b w:val="0"/>
      </w:r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2CD5114A"/>
    <w:multiLevelType w:val="hybridMultilevel"/>
    <w:tmpl w:val="7056F9FA"/>
    <w:lvl w:ilvl="0" w:tplc="14090001">
      <w:start w:val="1"/>
      <w:numFmt w:val="bullet"/>
      <w:lvlText w:val=""/>
      <w:lvlJc w:val="left"/>
      <w:pPr>
        <w:ind w:left="786" w:hanging="360"/>
      </w:pPr>
      <w:rPr>
        <w:rFonts w:ascii="Symbol" w:hAnsi="Symbol" w:hint="default"/>
      </w:rPr>
    </w:lvl>
    <w:lvl w:ilvl="1" w:tplc="14090003">
      <w:start w:val="1"/>
      <w:numFmt w:val="bullet"/>
      <w:lvlText w:val="o"/>
      <w:lvlJc w:val="left"/>
      <w:pPr>
        <w:ind w:left="1506" w:hanging="360"/>
      </w:pPr>
      <w:rPr>
        <w:rFonts w:ascii="Courier New" w:hAnsi="Courier New" w:cs="Courier New" w:hint="default"/>
      </w:rPr>
    </w:lvl>
    <w:lvl w:ilvl="2" w:tplc="14090005">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33" w15:restartNumberingAfterBreak="0">
    <w:nsid w:val="2EBC2A12"/>
    <w:multiLevelType w:val="hybridMultilevel"/>
    <w:tmpl w:val="5A54DD80"/>
    <w:lvl w:ilvl="0" w:tplc="14090001">
      <w:start w:val="1"/>
      <w:numFmt w:val="bullet"/>
      <w:lvlText w:val=""/>
      <w:lvlJc w:val="left"/>
      <w:pPr>
        <w:ind w:left="1072" w:hanging="360"/>
      </w:pPr>
      <w:rPr>
        <w:rFonts w:ascii="Symbol" w:hAnsi="Symbol" w:hint="default"/>
        <w:b w:val="0"/>
      </w:rPr>
    </w:lvl>
    <w:lvl w:ilvl="1" w:tplc="14090003" w:tentative="1">
      <w:start w:val="1"/>
      <w:numFmt w:val="bullet"/>
      <w:lvlText w:val="o"/>
      <w:lvlJc w:val="left"/>
      <w:pPr>
        <w:ind w:left="1792" w:hanging="360"/>
      </w:pPr>
      <w:rPr>
        <w:rFonts w:ascii="Courier New" w:hAnsi="Courier New" w:cs="Courier New" w:hint="default"/>
      </w:rPr>
    </w:lvl>
    <w:lvl w:ilvl="2" w:tplc="14090005" w:tentative="1">
      <w:start w:val="1"/>
      <w:numFmt w:val="bullet"/>
      <w:lvlText w:val=""/>
      <w:lvlJc w:val="left"/>
      <w:pPr>
        <w:ind w:left="2512" w:hanging="360"/>
      </w:pPr>
      <w:rPr>
        <w:rFonts w:ascii="Wingdings" w:hAnsi="Wingdings" w:hint="default"/>
      </w:rPr>
    </w:lvl>
    <w:lvl w:ilvl="3" w:tplc="14090001" w:tentative="1">
      <w:start w:val="1"/>
      <w:numFmt w:val="bullet"/>
      <w:lvlText w:val=""/>
      <w:lvlJc w:val="left"/>
      <w:pPr>
        <w:ind w:left="3232" w:hanging="360"/>
      </w:pPr>
      <w:rPr>
        <w:rFonts w:ascii="Symbol" w:hAnsi="Symbol" w:hint="default"/>
      </w:rPr>
    </w:lvl>
    <w:lvl w:ilvl="4" w:tplc="14090003" w:tentative="1">
      <w:start w:val="1"/>
      <w:numFmt w:val="bullet"/>
      <w:lvlText w:val="o"/>
      <w:lvlJc w:val="left"/>
      <w:pPr>
        <w:ind w:left="3952" w:hanging="360"/>
      </w:pPr>
      <w:rPr>
        <w:rFonts w:ascii="Courier New" w:hAnsi="Courier New" w:cs="Courier New" w:hint="default"/>
      </w:rPr>
    </w:lvl>
    <w:lvl w:ilvl="5" w:tplc="14090005" w:tentative="1">
      <w:start w:val="1"/>
      <w:numFmt w:val="bullet"/>
      <w:lvlText w:val=""/>
      <w:lvlJc w:val="left"/>
      <w:pPr>
        <w:ind w:left="4672" w:hanging="360"/>
      </w:pPr>
      <w:rPr>
        <w:rFonts w:ascii="Wingdings" w:hAnsi="Wingdings" w:hint="default"/>
      </w:rPr>
    </w:lvl>
    <w:lvl w:ilvl="6" w:tplc="14090001" w:tentative="1">
      <w:start w:val="1"/>
      <w:numFmt w:val="bullet"/>
      <w:lvlText w:val=""/>
      <w:lvlJc w:val="left"/>
      <w:pPr>
        <w:ind w:left="5392" w:hanging="360"/>
      </w:pPr>
      <w:rPr>
        <w:rFonts w:ascii="Symbol" w:hAnsi="Symbol" w:hint="default"/>
      </w:rPr>
    </w:lvl>
    <w:lvl w:ilvl="7" w:tplc="14090003" w:tentative="1">
      <w:start w:val="1"/>
      <w:numFmt w:val="bullet"/>
      <w:lvlText w:val="o"/>
      <w:lvlJc w:val="left"/>
      <w:pPr>
        <w:ind w:left="6112" w:hanging="360"/>
      </w:pPr>
      <w:rPr>
        <w:rFonts w:ascii="Courier New" w:hAnsi="Courier New" w:cs="Courier New" w:hint="default"/>
      </w:rPr>
    </w:lvl>
    <w:lvl w:ilvl="8" w:tplc="14090005" w:tentative="1">
      <w:start w:val="1"/>
      <w:numFmt w:val="bullet"/>
      <w:lvlText w:val=""/>
      <w:lvlJc w:val="left"/>
      <w:pPr>
        <w:ind w:left="6832" w:hanging="360"/>
      </w:pPr>
      <w:rPr>
        <w:rFonts w:ascii="Wingdings" w:hAnsi="Wingdings" w:hint="default"/>
      </w:rPr>
    </w:lvl>
  </w:abstractNum>
  <w:abstractNum w:abstractNumId="34" w15:restartNumberingAfterBreak="0">
    <w:nsid w:val="32437A4E"/>
    <w:multiLevelType w:val="hybridMultilevel"/>
    <w:tmpl w:val="A3824FAE"/>
    <w:lvl w:ilvl="0" w:tplc="14090001">
      <w:start w:val="1"/>
      <w:numFmt w:val="bullet"/>
      <w:lvlText w:val=""/>
      <w:lvlJc w:val="left"/>
      <w:pPr>
        <w:ind w:left="405" w:hanging="360"/>
      </w:pPr>
      <w:rPr>
        <w:rFonts w:ascii="Symbol" w:hAnsi="Symbol"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35" w15:restartNumberingAfterBreak="0">
    <w:nsid w:val="32731624"/>
    <w:multiLevelType w:val="hybridMultilevel"/>
    <w:tmpl w:val="15BAC0FC"/>
    <w:lvl w:ilvl="0" w:tplc="14090001">
      <w:start w:val="1"/>
      <w:numFmt w:val="bullet"/>
      <w:lvlText w:val=""/>
      <w:lvlJc w:val="left"/>
      <w:pPr>
        <w:ind w:left="720" w:hanging="360"/>
      </w:pPr>
      <w:rPr>
        <w:rFonts w:ascii="Symbol" w:hAnsi="Symbol"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33CC5E5C"/>
    <w:multiLevelType w:val="hybridMultilevel"/>
    <w:tmpl w:val="8CC6ED32"/>
    <w:lvl w:ilvl="0" w:tplc="3FC03D92">
      <w:start w:val="1"/>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3B0B4CCE"/>
    <w:multiLevelType w:val="hybridMultilevel"/>
    <w:tmpl w:val="CCF216D4"/>
    <w:lvl w:ilvl="0" w:tplc="B4C6969E">
      <w:start w:val="6"/>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8" w15:restartNumberingAfterBreak="0">
    <w:nsid w:val="3C47234F"/>
    <w:multiLevelType w:val="hybridMultilevel"/>
    <w:tmpl w:val="902C7C92"/>
    <w:lvl w:ilvl="0" w:tplc="3FC03D92">
      <w:start w:val="1"/>
      <w:numFmt w:val="bullet"/>
      <w:lvlText w:val="-"/>
      <w:lvlJc w:val="left"/>
      <w:pPr>
        <w:ind w:left="1080" w:hanging="360"/>
      </w:pPr>
      <w:rPr>
        <w:rFonts w:ascii="Calibri" w:eastAsia="Times New Roman"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9" w15:restartNumberingAfterBreak="0">
    <w:nsid w:val="3C6E1400"/>
    <w:multiLevelType w:val="hybridMultilevel"/>
    <w:tmpl w:val="E626D6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3D040F72"/>
    <w:multiLevelType w:val="hybridMultilevel"/>
    <w:tmpl w:val="78F6F9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3EB57585"/>
    <w:multiLevelType w:val="hybridMultilevel"/>
    <w:tmpl w:val="A3600762"/>
    <w:lvl w:ilvl="0" w:tplc="14090001">
      <w:start w:val="1"/>
      <w:numFmt w:val="bullet"/>
      <w:lvlText w:val=""/>
      <w:lvlJc w:val="left"/>
      <w:pPr>
        <w:ind w:left="720" w:hanging="360"/>
      </w:pPr>
      <w:rPr>
        <w:rFonts w:ascii="Symbol" w:hAnsi="Symbol" w:hint="default"/>
        <w:b w:val="0"/>
      </w:rPr>
    </w:lvl>
    <w:lvl w:ilvl="1" w:tplc="14090001">
      <w:start w:val="1"/>
      <w:numFmt w:val="bullet"/>
      <w:lvlText w:val=""/>
      <w:lvlJc w:val="left"/>
      <w:pPr>
        <w:ind w:left="1440" w:hanging="360"/>
      </w:pPr>
      <w:rPr>
        <w:rFonts w:ascii="Symbol" w:hAnsi="Symbol" w:hint="default"/>
        <w:b w:val="0"/>
      </w:rPr>
    </w:lvl>
    <w:lvl w:ilvl="2" w:tplc="E72650F8">
      <w:start w:val="1"/>
      <w:numFmt w:val="lowerRoman"/>
      <w:lvlText w:val="%3."/>
      <w:lvlJc w:val="right"/>
      <w:pPr>
        <w:ind w:left="2160" w:hanging="180"/>
      </w:pPr>
      <w:rPr>
        <w:b w:val="0"/>
      </w:r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41495B32"/>
    <w:multiLevelType w:val="hybridMultilevel"/>
    <w:tmpl w:val="B742F75A"/>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42C66A6E"/>
    <w:multiLevelType w:val="hybridMultilevel"/>
    <w:tmpl w:val="8D662340"/>
    <w:lvl w:ilvl="0" w:tplc="3FC03D92">
      <w:start w:val="1"/>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43345330"/>
    <w:multiLevelType w:val="hybridMultilevel"/>
    <w:tmpl w:val="2FA8B43C"/>
    <w:lvl w:ilvl="0" w:tplc="14090001">
      <w:start w:val="1"/>
      <w:numFmt w:val="bullet"/>
      <w:lvlText w:val=""/>
      <w:lvlJc w:val="left"/>
      <w:pPr>
        <w:ind w:left="720" w:hanging="360"/>
      </w:pPr>
      <w:rPr>
        <w:rFonts w:ascii="Symbol" w:hAnsi="Symbol" w:hint="default"/>
        <w:b w:val="0"/>
      </w:rPr>
    </w:lvl>
    <w:lvl w:ilvl="1" w:tplc="7A768DBC">
      <w:start w:val="1"/>
      <w:numFmt w:val="lowerLetter"/>
      <w:lvlText w:val="%2."/>
      <w:lvlJc w:val="left"/>
      <w:pPr>
        <w:ind w:left="1440" w:hanging="360"/>
      </w:pPr>
      <w:rPr>
        <w:b w:val="0"/>
      </w:rPr>
    </w:lvl>
    <w:lvl w:ilvl="2" w:tplc="E72650F8">
      <w:start w:val="1"/>
      <w:numFmt w:val="lowerRoman"/>
      <w:lvlText w:val="%3."/>
      <w:lvlJc w:val="right"/>
      <w:pPr>
        <w:ind w:left="2160" w:hanging="180"/>
      </w:pPr>
      <w:rPr>
        <w:b w:val="0"/>
      </w:r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43F55D4A"/>
    <w:multiLevelType w:val="hybridMultilevel"/>
    <w:tmpl w:val="4B4E6CE4"/>
    <w:lvl w:ilvl="0" w:tplc="3FC03D92">
      <w:start w:val="1"/>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47497BD5"/>
    <w:multiLevelType w:val="hybridMultilevel"/>
    <w:tmpl w:val="DD5EFB4A"/>
    <w:lvl w:ilvl="0" w:tplc="3FC03D92">
      <w:start w:val="1"/>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4BF23A6B"/>
    <w:multiLevelType w:val="hybridMultilevel"/>
    <w:tmpl w:val="DA00DA02"/>
    <w:lvl w:ilvl="0" w:tplc="3FC03D92">
      <w:start w:val="1"/>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4E7111BC"/>
    <w:multiLevelType w:val="hybridMultilevel"/>
    <w:tmpl w:val="3B14CBB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9" w15:restartNumberingAfterBreak="0">
    <w:nsid w:val="501A4829"/>
    <w:multiLevelType w:val="hybridMultilevel"/>
    <w:tmpl w:val="1EBA24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52EF5FE2"/>
    <w:multiLevelType w:val="hybridMultilevel"/>
    <w:tmpl w:val="60D4FA66"/>
    <w:lvl w:ilvl="0" w:tplc="3FC03D92">
      <w:start w:val="1"/>
      <w:numFmt w:val="bullet"/>
      <w:lvlText w:val="-"/>
      <w:lvlJc w:val="left"/>
      <w:pPr>
        <w:ind w:left="1077" w:hanging="360"/>
      </w:pPr>
      <w:rPr>
        <w:rFonts w:ascii="Calibri" w:eastAsia="Times New Roman" w:hAnsi="Calibri" w:cs="Calibri"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1" w15:restartNumberingAfterBreak="0">
    <w:nsid w:val="531058F7"/>
    <w:multiLevelType w:val="hybridMultilevel"/>
    <w:tmpl w:val="70AAA078"/>
    <w:lvl w:ilvl="0" w:tplc="14090001">
      <w:start w:val="1"/>
      <w:numFmt w:val="bullet"/>
      <w:lvlText w:val=""/>
      <w:lvlJc w:val="left"/>
      <w:pPr>
        <w:ind w:left="1080" w:hanging="360"/>
      </w:pPr>
      <w:rPr>
        <w:rFonts w:ascii="Symbol" w:hAnsi="Symbol"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2" w15:restartNumberingAfterBreak="0">
    <w:nsid w:val="535E123F"/>
    <w:multiLevelType w:val="hybridMultilevel"/>
    <w:tmpl w:val="9F2CD330"/>
    <w:lvl w:ilvl="0" w:tplc="14090001">
      <w:start w:val="1"/>
      <w:numFmt w:val="bullet"/>
      <w:lvlText w:val=""/>
      <w:lvlJc w:val="left"/>
      <w:pPr>
        <w:ind w:left="405" w:hanging="360"/>
      </w:pPr>
      <w:rPr>
        <w:rFonts w:ascii="Symbol" w:hAnsi="Symbol" w:hint="default"/>
      </w:rPr>
    </w:lvl>
    <w:lvl w:ilvl="1" w:tplc="14090003">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53" w15:restartNumberingAfterBreak="0">
    <w:nsid w:val="57454CE5"/>
    <w:multiLevelType w:val="hybridMultilevel"/>
    <w:tmpl w:val="75DE35CC"/>
    <w:lvl w:ilvl="0" w:tplc="3FC03D92">
      <w:start w:val="1"/>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584462B0"/>
    <w:multiLevelType w:val="hybridMultilevel"/>
    <w:tmpl w:val="A5006F18"/>
    <w:lvl w:ilvl="0" w:tplc="3FC03D92">
      <w:start w:val="1"/>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5C5561D9"/>
    <w:multiLevelType w:val="hybridMultilevel"/>
    <w:tmpl w:val="1FCC34FA"/>
    <w:lvl w:ilvl="0" w:tplc="3FC03D92">
      <w:start w:val="1"/>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5DA84763"/>
    <w:multiLevelType w:val="hybridMultilevel"/>
    <w:tmpl w:val="C6403D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5E442999"/>
    <w:multiLevelType w:val="hybridMultilevel"/>
    <w:tmpl w:val="9134E1C8"/>
    <w:lvl w:ilvl="0" w:tplc="3FC03D92">
      <w:start w:val="1"/>
      <w:numFmt w:val="bullet"/>
      <w:lvlText w:val="-"/>
      <w:lvlJc w:val="left"/>
      <w:pPr>
        <w:ind w:left="776" w:hanging="360"/>
      </w:pPr>
      <w:rPr>
        <w:rFonts w:ascii="Calibri" w:eastAsia="Times New Roman" w:hAnsi="Calibri" w:cs="Calibri" w:hint="default"/>
      </w:rPr>
    </w:lvl>
    <w:lvl w:ilvl="1" w:tplc="14090003" w:tentative="1">
      <w:start w:val="1"/>
      <w:numFmt w:val="bullet"/>
      <w:lvlText w:val="o"/>
      <w:lvlJc w:val="left"/>
      <w:pPr>
        <w:ind w:left="1496" w:hanging="360"/>
      </w:pPr>
      <w:rPr>
        <w:rFonts w:ascii="Courier New" w:hAnsi="Courier New" w:cs="Courier New" w:hint="default"/>
      </w:rPr>
    </w:lvl>
    <w:lvl w:ilvl="2" w:tplc="14090005" w:tentative="1">
      <w:start w:val="1"/>
      <w:numFmt w:val="bullet"/>
      <w:lvlText w:val=""/>
      <w:lvlJc w:val="left"/>
      <w:pPr>
        <w:ind w:left="2216" w:hanging="360"/>
      </w:pPr>
      <w:rPr>
        <w:rFonts w:ascii="Wingdings" w:hAnsi="Wingdings" w:hint="default"/>
      </w:rPr>
    </w:lvl>
    <w:lvl w:ilvl="3" w:tplc="14090001" w:tentative="1">
      <w:start w:val="1"/>
      <w:numFmt w:val="bullet"/>
      <w:lvlText w:val=""/>
      <w:lvlJc w:val="left"/>
      <w:pPr>
        <w:ind w:left="2936" w:hanging="360"/>
      </w:pPr>
      <w:rPr>
        <w:rFonts w:ascii="Symbol" w:hAnsi="Symbol" w:hint="default"/>
      </w:rPr>
    </w:lvl>
    <w:lvl w:ilvl="4" w:tplc="14090003" w:tentative="1">
      <w:start w:val="1"/>
      <w:numFmt w:val="bullet"/>
      <w:lvlText w:val="o"/>
      <w:lvlJc w:val="left"/>
      <w:pPr>
        <w:ind w:left="3656" w:hanging="360"/>
      </w:pPr>
      <w:rPr>
        <w:rFonts w:ascii="Courier New" w:hAnsi="Courier New" w:cs="Courier New" w:hint="default"/>
      </w:rPr>
    </w:lvl>
    <w:lvl w:ilvl="5" w:tplc="14090005" w:tentative="1">
      <w:start w:val="1"/>
      <w:numFmt w:val="bullet"/>
      <w:lvlText w:val=""/>
      <w:lvlJc w:val="left"/>
      <w:pPr>
        <w:ind w:left="4376" w:hanging="360"/>
      </w:pPr>
      <w:rPr>
        <w:rFonts w:ascii="Wingdings" w:hAnsi="Wingdings" w:hint="default"/>
      </w:rPr>
    </w:lvl>
    <w:lvl w:ilvl="6" w:tplc="14090001" w:tentative="1">
      <w:start w:val="1"/>
      <w:numFmt w:val="bullet"/>
      <w:lvlText w:val=""/>
      <w:lvlJc w:val="left"/>
      <w:pPr>
        <w:ind w:left="5096" w:hanging="360"/>
      </w:pPr>
      <w:rPr>
        <w:rFonts w:ascii="Symbol" w:hAnsi="Symbol" w:hint="default"/>
      </w:rPr>
    </w:lvl>
    <w:lvl w:ilvl="7" w:tplc="14090003" w:tentative="1">
      <w:start w:val="1"/>
      <w:numFmt w:val="bullet"/>
      <w:lvlText w:val="o"/>
      <w:lvlJc w:val="left"/>
      <w:pPr>
        <w:ind w:left="5816" w:hanging="360"/>
      </w:pPr>
      <w:rPr>
        <w:rFonts w:ascii="Courier New" w:hAnsi="Courier New" w:cs="Courier New" w:hint="default"/>
      </w:rPr>
    </w:lvl>
    <w:lvl w:ilvl="8" w:tplc="14090005" w:tentative="1">
      <w:start w:val="1"/>
      <w:numFmt w:val="bullet"/>
      <w:lvlText w:val=""/>
      <w:lvlJc w:val="left"/>
      <w:pPr>
        <w:ind w:left="6536" w:hanging="360"/>
      </w:pPr>
      <w:rPr>
        <w:rFonts w:ascii="Wingdings" w:hAnsi="Wingdings" w:hint="default"/>
      </w:rPr>
    </w:lvl>
  </w:abstractNum>
  <w:abstractNum w:abstractNumId="58" w15:restartNumberingAfterBreak="0">
    <w:nsid w:val="616D6282"/>
    <w:multiLevelType w:val="hybridMultilevel"/>
    <w:tmpl w:val="35C07C9A"/>
    <w:lvl w:ilvl="0" w:tplc="AA52B87E">
      <w:numFmt w:val="bullet"/>
      <w:lvlText w:val="-"/>
      <w:lvlJc w:val="left"/>
      <w:pPr>
        <w:ind w:left="405" w:hanging="360"/>
      </w:pPr>
      <w:rPr>
        <w:rFonts w:ascii="Calibri" w:eastAsiaTheme="minorHAnsi" w:hAnsi="Calibri" w:cs="Calibri"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59" w15:restartNumberingAfterBreak="0">
    <w:nsid w:val="625A59FC"/>
    <w:multiLevelType w:val="hybridMultilevel"/>
    <w:tmpl w:val="AC2A46E6"/>
    <w:lvl w:ilvl="0" w:tplc="7A768DBC">
      <w:start w:val="1"/>
      <w:numFmt w:val="lowerLetter"/>
      <w:lvlText w:val="%1."/>
      <w:lvlJc w:val="left"/>
      <w:pPr>
        <w:ind w:left="144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625B0448"/>
    <w:multiLevelType w:val="hybridMultilevel"/>
    <w:tmpl w:val="C70494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15:restartNumberingAfterBreak="0">
    <w:nsid w:val="62AC3587"/>
    <w:multiLevelType w:val="hybridMultilevel"/>
    <w:tmpl w:val="8AA2EE18"/>
    <w:lvl w:ilvl="0" w:tplc="14090001">
      <w:start w:val="1"/>
      <w:numFmt w:val="bullet"/>
      <w:lvlText w:val=""/>
      <w:lvlJc w:val="left"/>
      <w:pPr>
        <w:ind w:left="776" w:hanging="360"/>
      </w:pPr>
      <w:rPr>
        <w:rFonts w:ascii="Symbol" w:hAnsi="Symbol" w:hint="default"/>
        <w:b w:val="0"/>
      </w:rPr>
    </w:lvl>
    <w:lvl w:ilvl="1" w:tplc="14090003" w:tentative="1">
      <w:start w:val="1"/>
      <w:numFmt w:val="bullet"/>
      <w:lvlText w:val="o"/>
      <w:lvlJc w:val="left"/>
      <w:pPr>
        <w:ind w:left="1496" w:hanging="360"/>
      </w:pPr>
      <w:rPr>
        <w:rFonts w:ascii="Courier New" w:hAnsi="Courier New" w:cs="Courier New" w:hint="default"/>
      </w:rPr>
    </w:lvl>
    <w:lvl w:ilvl="2" w:tplc="14090005" w:tentative="1">
      <w:start w:val="1"/>
      <w:numFmt w:val="bullet"/>
      <w:lvlText w:val=""/>
      <w:lvlJc w:val="left"/>
      <w:pPr>
        <w:ind w:left="2216" w:hanging="360"/>
      </w:pPr>
      <w:rPr>
        <w:rFonts w:ascii="Wingdings" w:hAnsi="Wingdings" w:hint="default"/>
      </w:rPr>
    </w:lvl>
    <w:lvl w:ilvl="3" w:tplc="14090001" w:tentative="1">
      <w:start w:val="1"/>
      <w:numFmt w:val="bullet"/>
      <w:lvlText w:val=""/>
      <w:lvlJc w:val="left"/>
      <w:pPr>
        <w:ind w:left="2936" w:hanging="360"/>
      </w:pPr>
      <w:rPr>
        <w:rFonts w:ascii="Symbol" w:hAnsi="Symbol" w:hint="default"/>
      </w:rPr>
    </w:lvl>
    <w:lvl w:ilvl="4" w:tplc="14090003" w:tentative="1">
      <w:start w:val="1"/>
      <w:numFmt w:val="bullet"/>
      <w:lvlText w:val="o"/>
      <w:lvlJc w:val="left"/>
      <w:pPr>
        <w:ind w:left="3656" w:hanging="360"/>
      </w:pPr>
      <w:rPr>
        <w:rFonts w:ascii="Courier New" w:hAnsi="Courier New" w:cs="Courier New" w:hint="default"/>
      </w:rPr>
    </w:lvl>
    <w:lvl w:ilvl="5" w:tplc="14090005" w:tentative="1">
      <w:start w:val="1"/>
      <w:numFmt w:val="bullet"/>
      <w:lvlText w:val=""/>
      <w:lvlJc w:val="left"/>
      <w:pPr>
        <w:ind w:left="4376" w:hanging="360"/>
      </w:pPr>
      <w:rPr>
        <w:rFonts w:ascii="Wingdings" w:hAnsi="Wingdings" w:hint="default"/>
      </w:rPr>
    </w:lvl>
    <w:lvl w:ilvl="6" w:tplc="14090001" w:tentative="1">
      <w:start w:val="1"/>
      <w:numFmt w:val="bullet"/>
      <w:lvlText w:val=""/>
      <w:lvlJc w:val="left"/>
      <w:pPr>
        <w:ind w:left="5096" w:hanging="360"/>
      </w:pPr>
      <w:rPr>
        <w:rFonts w:ascii="Symbol" w:hAnsi="Symbol" w:hint="default"/>
      </w:rPr>
    </w:lvl>
    <w:lvl w:ilvl="7" w:tplc="14090003" w:tentative="1">
      <w:start w:val="1"/>
      <w:numFmt w:val="bullet"/>
      <w:lvlText w:val="o"/>
      <w:lvlJc w:val="left"/>
      <w:pPr>
        <w:ind w:left="5816" w:hanging="360"/>
      </w:pPr>
      <w:rPr>
        <w:rFonts w:ascii="Courier New" w:hAnsi="Courier New" w:cs="Courier New" w:hint="default"/>
      </w:rPr>
    </w:lvl>
    <w:lvl w:ilvl="8" w:tplc="14090005" w:tentative="1">
      <w:start w:val="1"/>
      <w:numFmt w:val="bullet"/>
      <w:lvlText w:val=""/>
      <w:lvlJc w:val="left"/>
      <w:pPr>
        <w:ind w:left="6536" w:hanging="360"/>
      </w:pPr>
      <w:rPr>
        <w:rFonts w:ascii="Wingdings" w:hAnsi="Wingdings" w:hint="default"/>
      </w:rPr>
    </w:lvl>
  </w:abstractNum>
  <w:abstractNum w:abstractNumId="62" w15:restartNumberingAfterBreak="0">
    <w:nsid w:val="62E65119"/>
    <w:multiLevelType w:val="hybridMultilevel"/>
    <w:tmpl w:val="A05A42BC"/>
    <w:lvl w:ilvl="0" w:tplc="7BE8E28C">
      <w:numFmt w:val="bullet"/>
      <w:lvlText w:val="-"/>
      <w:lvlJc w:val="left"/>
      <w:pPr>
        <w:ind w:left="405" w:hanging="360"/>
      </w:pPr>
      <w:rPr>
        <w:rFonts w:ascii="Calibri" w:eastAsiaTheme="minorHAnsi" w:hAnsi="Calibri" w:cs="Calibri"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63" w15:restartNumberingAfterBreak="0">
    <w:nsid w:val="659E206E"/>
    <w:multiLevelType w:val="hybridMultilevel"/>
    <w:tmpl w:val="B742F75A"/>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15:restartNumberingAfterBreak="0">
    <w:nsid w:val="662C60CB"/>
    <w:multiLevelType w:val="hybridMultilevel"/>
    <w:tmpl w:val="2B68C3E8"/>
    <w:lvl w:ilvl="0" w:tplc="14090001">
      <w:start w:val="1"/>
      <w:numFmt w:val="bullet"/>
      <w:lvlText w:val=""/>
      <w:lvlJc w:val="left"/>
      <w:pPr>
        <w:ind w:left="720" w:hanging="360"/>
      </w:pPr>
      <w:rPr>
        <w:rFonts w:ascii="Symbol" w:hAnsi="Symbol"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5" w15:restartNumberingAfterBreak="0">
    <w:nsid w:val="698E42E7"/>
    <w:multiLevelType w:val="hybridMultilevel"/>
    <w:tmpl w:val="C0180E12"/>
    <w:lvl w:ilvl="0" w:tplc="14090001">
      <w:start w:val="1"/>
      <w:numFmt w:val="bullet"/>
      <w:lvlText w:val=""/>
      <w:lvlJc w:val="left"/>
      <w:pPr>
        <w:ind w:left="720" w:hanging="360"/>
      </w:pPr>
      <w:rPr>
        <w:rFonts w:ascii="Symbol" w:hAnsi="Symbol" w:hint="default"/>
        <w:b w:val="0"/>
      </w:rPr>
    </w:lvl>
    <w:lvl w:ilvl="1" w:tplc="7A768DBC">
      <w:start w:val="1"/>
      <w:numFmt w:val="lowerLetter"/>
      <w:lvlText w:val="%2."/>
      <w:lvlJc w:val="left"/>
      <w:pPr>
        <w:ind w:left="1440" w:hanging="360"/>
      </w:pPr>
      <w:rPr>
        <w:b w:val="0"/>
      </w:rPr>
    </w:lvl>
    <w:lvl w:ilvl="2" w:tplc="E72650F8">
      <w:start w:val="1"/>
      <w:numFmt w:val="lowerRoman"/>
      <w:lvlText w:val="%3."/>
      <w:lvlJc w:val="right"/>
      <w:pPr>
        <w:ind w:left="2160" w:hanging="180"/>
      </w:pPr>
      <w:rPr>
        <w:b w:val="0"/>
      </w:r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6" w15:restartNumberingAfterBreak="0">
    <w:nsid w:val="6C4B3CC6"/>
    <w:multiLevelType w:val="hybridMultilevel"/>
    <w:tmpl w:val="300486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7" w15:restartNumberingAfterBreak="0">
    <w:nsid w:val="6FD63AE4"/>
    <w:multiLevelType w:val="hybridMultilevel"/>
    <w:tmpl w:val="14BE23B0"/>
    <w:lvl w:ilvl="0" w:tplc="3FC03D92">
      <w:start w:val="1"/>
      <w:numFmt w:val="bullet"/>
      <w:lvlText w:val="-"/>
      <w:lvlJc w:val="left"/>
      <w:pPr>
        <w:ind w:left="1080" w:hanging="360"/>
      </w:pPr>
      <w:rPr>
        <w:rFonts w:ascii="Calibri" w:eastAsia="Times New Roman" w:hAnsi="Calibri" w:cs="Calibri"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8" w15:restartNumberingAfterBreak="0">
    <w:nsid w:val="6FEA2FE0"/>
    <w:multiLevelType w:val="hybridMultilevel"/>
    <w:tmpl w:val="D08AFB66"/>
    <w:lvl w:ilvl="0" w:tplc="3FC03D92">
      <w:start w:val="1"/>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9" w15:restartNumberingAfterBreak="0">
    <w:nsid w:val="71911C72"/>
    <w:multiLevelType w:val="hybridMultilevel"/>
    <w:tmpl w:val="169EF0BE"/>
    <w:lvl w:ilvl="0" w:tplc="14090001">
      <w:start w:val="1"/>
      <w:numFmt w:val="bullet"/>
      <w:lvlText w:val=""/>
      <w:lvlJc w:val="left"/>
      <w:pPr>
        <w:ind w:left="720" w:hanging="360"/>
      </w:pPr>
      <w:rPr>
        <w:rFonts w:ascii="Symbol" w:hAnsi="Symbol"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0" w15:restartNumberingAfterBreak="0">
    <w:nsid w:val="78080CB4"/>
    <w:multiLevelType w:val="hybridMultilevel"/>
    <w:tmpl w:val="115C52E8"/>
    <w:lvl w:ilvl="0" w:tplc="14090001">
      <w:start w:val="1"/>
      <w:numFmt w:val="bullet"/>
      <w:lvlText w:val=""/>
      <w:lvlJc w:val="left"/>
      <w:pPr>
        <w:ind w:left="1077" w:hanging="360"/>
      </w:pPr>
      <w:rPr>
        <w:rFonts w:ascii="Symbol" w:hAnsi="Symbol" w:hint="default"/>
        <w:b w:val="0"/>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71" w15:restartNumberingAfterBreak="0">
    <w:nsid w:val="78B80BD7"/>
    <w:multiLevelType w:val="hybridMultilevel"/>
    <w:tmpl w:val="ECDC3B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2" w15:restartNumberingAfterBreak="0">
    <w:nsid w:val="78D67D13"/>
    <w:multiLevelType w:val="hybridMultilevel"/>
    <w:tmpl w:val="BD74BE98"/>
    <w:lvl w:ilvl="0" w:tplc="3FC03D92">
      <w:start w:val="1"/>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3" w15:restartNumberingAfterBreak="0">
    <w:nsid w:val="7E1E2245"/>
    <w:multiLevelType w:val="hybridMultilevel"/>
    <w:tmpl w:val="DA94DBD6"/>
    <w:lvl w:ilvl="0" w:tplc="1409000F">
      <w:start w:val="1"/>
      <w:numFmt w:val="decimal"/>
      <w:lvlText w:val="%1."/>
      <w:lvlJc w:val="left"/>
      <w:pPr>
        <w:ind w:left="360" w:hanging="360"/>
      </w:pPr>
      <w:rPr>
        <w:rFonts w:hint="default"/>
        <w:b w:val="0"/>
      </w:rPr>
    </w:lvl>
    <w:lvl w:ilvl="1" w:tplc="14090001">
      <w:start w:val="1"/>
      <w:numFmt w:val="bullet"/>
      <w:lvlText w:val=""/>
      <w:lvlJc w:val="left"/>
      <w:pPr>
        <w:ind w:left="1080" w:hanging="360"/>
      </w:pPr>
      <w:rPr>
        <w:rFonts w:ascii="Symbol" w:hAnsi="Symbol" w:hint="default"/>
        <w:b w:val="0"/>
      </w:rPr>
    </w:lvl>
    <w:lvl w:ilvl="2" w:tplc="E72650F8">
      <w:start w:val="1"/>
      <w:numFmt w:val="lowerRoman"/>
      <w:lvlText w:val="%3."/>
      <w:lvlJc w:val="right"/>
      <w:pPr>
        <w:ind w:left="1800" w:hanging="180"/>
      </w:pPr>
      <w:rPr>
        <w:b w:val="0"/>
      </w:rPr>
    </w:lvl>
    <w:lvl w:ilvl="3" w:tplc="1409000F">
      <w:start w:val="1"/>
      <w:numFmt w:val="decimal"/>
      <w:lvlText w:val="%4."/>
      <w:lvlJc w:val="left"/>
      <w:pPr>
        <w:ind w:left="2520" w:hanging="360"/>
      </w:pPr>
    </w:lvl>
    <w:lvl w:ilvl="4" w:tplc="7F4E4790">
      <w:start w:val="1"/>
      <w:numFmt w:val="upperRoman"/>
      <w:lvlText w:val="%5."/>
      <w:lvlJc w:val="left"/>
      <w:pPr>
        <w:ind w:left="3600" w:hanging="720"/>
      </w:pPr>
      <w:rPr>
        <w:rFonts w:hint="default"/>
      </w:r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4" w15:restartNumberingAfterBreak="0">
    <w:nsid w:val="7E8D3ADA"/>
    <w:multiLevelType w:val="hybridMultilevel"/>
    <w:tmpl w:val="114289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5" w15:restartNumberingAfterBreak="0">
    <w:nsid w:val="7EB1199F"/>
    <w:multiLevelType w:val="hybridMultilevel"/>
    <w:tmpl w:val="1FB01B46"/>
    <w:lvl w:ilvl="0" w:tplc="14090001">
      <w:start w:val="1"/>
      <w:numFmt w:val="bullet"/>
      <w:lvlText w:val=""/>
      <w:lvlJc w:val="left"/>
      <w:pPr>
        <w:ind w:left="720" w:hanging="360"/>
      </w:pPr>
      <w:rPr>
        <w:rFonts w:ascii="Symbol" w:hAnsi="Symbol"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2"/>
  </w:num>
  <w:num w:numId="2">
    <w:abstractNumId w:val="22"/>
  </w:num>
  <w:num w:numId="3">
    <w:abstractNumId w:val="18"/>
  </w:num>
  <w:num w:numId="4">
    <w:abstractNumId w:val="73"/>
  </w:num>
  <w:num w:numId="5">
    <w:abstractNumId w:val="29"/>
  </w:num>
  <w:num w:numId="6">
    <w:abstractNumId w:val="19"/>
  </w:num>
  <w:num w:numId="7">
    <w:abstractNumId w:val="41"/>
  </w:num>
  <w:num w:numId="8">
    <w:abstractNumId w:val="14"/>
  </w:num>
  <w:num w:numId="9">
    <w:abstractNumId w:val="63"/>
  </w:num>
  <w:num w:numId="10">
    <w:abstractNumId w:val="28"/>
  </w:num>
  <w:num w:numId="11">
    <w:abstractNumId w:val="15"/>
  </w:num>
  <w:num w:numId="12">
    <w:abstractNumId w:val="26"/>
  </w:num>
  <w:num w:numId="13">
    <w:abstractNumId w:val="10"/>
  </w:num>
  <w:num w:numId="14">
    <w:abstractNumId w:val="24"/>
  </w:num>
  <w:num w:numId="15">
    <w:abstractNumId w:val="66"/>
  </w:num>
  <w:num w:numId="16">
    <w:abstractNumId w:val="1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num>
  <w:num w:numId="20">
    <w:abstractNumId w:val="21"/>
  </w:num>
  <w:num w:numId="21">
    <w:abstractNumId w:val="28"/>
  </w:num>
  <w:num w:numId="22">
    <w:abstractNumId w:val="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7"/>
  </w:num>
  <w:num w:numId="27">
    <w:abstractNumId w:val="17"/>
  </w:num>
  <w:num w:numId="28">
    <w:abstractNumId w:val="20"/>
  </w:num>
  <w:num w:numId="29">
    <w:abstractNumId w:val="56"/>
  </w:num>
  <w:num w:numId="30">
    <w:abstractNumId w:val="16"/>
  </w:num>
  <w:num w:numId="31">
    <w:abstractNumId w:val="48"/>
  </w:num>
  <w:num w:numId="32">
    <w:abstractNumId w:val="60"/>
  </w:num>
  <w:num w:numId="33">
    <w:abstractNumId w:val="13"/>
  </w:num>
  <w:num w:numId="34">
    <w:abstractNumId w:val="71"/>
  </w:num>
  <w:num w:numId="35">
    <w:abstractNumId w:val="3"/>
  </w:num>
  <w:num w:numId="36">
    <w:abstractNumId w:val="65"/>
  </w:num>
  <w:num w:numId="37">
    <w:abstractNumId w:val="4"/>
  </w:num>
  <w:num w:numId="38">
    <w:abstractNumId w:val="44"/>
  </w:num>
  <w:num w:numId="39">
    <w:abstractNumId w:val="0"/>
  </w:num>
  <w:num w:numId="40">
    <w:abstractNumId w:val="58"/>
  </w:num>
  <w:num w:numId="41">
    <w:abstractNumId w:val="62"/>
  </w:num>
  <w:num w:numId="42">
    <w:abstractNumId w:val="8"/>
  </w:num>
  <w:num w:numId="43">
    <w:abstractNumId w:val="59"/>
  </w:num>
  <w:num w:numId="44">
    <w:abstractNumId w:val="52"/>
  </w:num>
  <w:num w:numId="45">
    <w:abstractNumId w:val="34"/>
  </w:num>
  <w:num w:numId="46">
    <w:abstractNumId w:val="74"/>
  </w:num>
  <w:num w:numId="47">
    <w:abstractNumId w:val="6"/>
  </w:num>
  <w:num w:numId="48">
    <w:abstractNumId w:val="49"/>
  </w:num>
  <w:num w:numId="49">
    <w:abstractNumId w:val="40"/>
  </w:num>
  <w:num w:numId="50">
    <w:abstractNumId w:val="39"/>
  </w:num>
  <w:num w:numId="51">
    <w:abstractNumId w:val="72"/>
  </w:num>
  <w:num w:numId="52">
    <w:abstractNumId w:val="68"/>
  </w:num>
  <w:num w:numId="53">
    <w:abstractNumId w:val="55"/>
  </w:num>
  <w:num w:numId="54">
    <w:abstractNumId w:val="38"/>
  </w:num>
  <w:num w:numId="55">
    <w:abstractNumId w:val="47"/>
  </w:num>
  <w:num w:numId="56">
    <w:abstractNumId w:val="23"/>
  </w:num>
  <w:num w:numId="57">
    <w:abstractNumId w:val="57"/>
  </w:num>
  <w:num w:numId="58">
    <w:abstractNumId w:val="36"/>
  </w:num>
  <w:num w:numId="59">
    <w:abstractNumId w:val="5"/>
  </w:num>
  <w:num w:numId="60">
    <w:abstractNumId w:val="43"/>
  </w:num>
  <w:num w:numId="61">
    <w:abstractNumId w:val="30"/>
  </w:num>
  <w:num w:numId="62">
    <w:abstractNumId w:val="45"/>
  </w:num>
  <w:num w:numId="63">
    <w:abstractNumId w:val="50"/>
  </w:num>
  <w:num w:numId="64">
    <w:abstractNumId w:val="54"/>
  </w:num>
  <w:num w:numId="65">
    <w:abstractNumId w:val="53"/>
  </w:num>
  <w:num w:numId="66">
    <w:abstractNumId w:val="67"/>
  </w:num>
  <w:num w:numId="67">
    <w:abstractNumId w:val="7"/>
  </w:num>
  <w:num w:numId="68">
    <w:abstractNumId w:val="46"/>
  </w:num>
  <w:num w:numId="69">
    <w:abstractNumId w:val="31"/>
  </w:num>
  <w:num w:numId="70">
    <w:abstractNumId w:val="50"/>
  </w:num>
  <w:num w:numId="71">
    <w:abstractNumId w:val="51"/>
  </w:num>
  <w:num w:numId="72">
    <w:abstractNumId w:val="33"/>
  </w:num>
  <w:num w:numId="73">
    <w:abstractNumId w:val="64"/>
  </w:num>
  <w:num w:numId="74">
    <w:abstractNumId w:val="11"/>
  </w:num>
  <w:num w:numId="75">
    <w:abstractNumId w:val="35"/>
  </w:num>
  <w:num w:numId="76">
    <w:abstractNumId w:val="70"/>
  </w:num>
  <w:num w:numId="77">
    <w:abstractNumId w:val="1"/>
  </w:num>
  <w:num w:numId="78">
    <w:abstractNumId w:val="12"/>
  </w:num>
  <w:num w:numId="79">
    <w:abstractNumId w:val="69"/>
  </w:num>
  <w:num w:numId="80">
    <w:abstractNumId w:val="25"/>
  </w:num>
  <w:num w:numId="81">
    <w:abstractNumId w:val="61"/>
  </w:num>
  <w:num w:numId="82">
    <w:abstractNumId w:val="2"/>
  </w:num>
  <w:num w:numId="83">
    <w:abstractNumId w:val="75"/>
  </w:num>
  <w:num w:numId="8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77B"/>
    <w:rsid w:val="00000473"/>
    <w:rsid w:val="00002D2E"/>
    <w:rsid w:val="00011D4A"/>
    <w:rsid w:val="000156FD"/>
    <w:rsid w:val="00026715"/>
    <w:rsid w:val="00026834"/>
    <w:rsid w:val="000309F9"/>
    <w:rsid w:val="00036C5E"/>
    <w:rsid w:val="000376FA"/>
    <w:rsid w:val="00045BFC"/>
    <w:rsid w:val="00050F4C"/>
    <w:rsid w:val="0005208D"/>
    <w:rsid w:val="00052978"/>
    <w:rsid w:val="0005401A"/>
    <w:rsid w:val="000562A2"/>
    <w:rsid w:val="00057427"/>
    <w:rsid w:val="00067A78"/>
    <w:rsid w:val="0007239C"/>
    <w:rsid w:val="00074F25"/>
    <w:rsid w:val="000778A6"/>
    <w:rsid w:val="00080B53"/>
    <w:rsid w:val="000825FB"/>
    <w:rsid w:val="0008297C"/>
    <w:rsid w:val="000866B0"/>
    <w:rsid w:val="000877F8"/>
    <w:rsid w:val="000904FB"/>
    <w:rsid w:val="00091A85"/>
    <w:rsid w:val="00096A75"/>
    <w:rsid w:val="000A098B"/>
    <w:rsid w:val="000A4D93"/>
    <w:rsid w:val="000C0501"/>
    <w:rsid w:val="000C195A"/>
    <w:rsid w:val="000C1FC7"/>
    <w:rsid w:val="000C3C50"/>
    <w:rsid w:val="000C4441"/>
    <w:rsid w:val="000D1277"/>
    <w:rsid w:val="000D1563"/>
    <w:rsid w:val="000D2588"/>
    <w:rsid w:val="000D55B1"/>
    <w:rsid w:val="000D77A9"/>
    <w:rsid w:val="000E1768"/>
    <w:rsid w:val="000E2F77"/>
    <w:rsid w:val="000E4FC8"/>
    <w:rsid w:val="000E536C"/>
    <w:rsid w:val="000E7650"/>
    <w:rsid w:val="000E7FC2"/>
    <w:rsid w:val="000F3799"/>
    <w:rsid w:val="000F5432"/>
    <w:rsid w:val="000F5E12"/>
    <w:rsid w:val="001014D4"/>
    <w:rsid w:val="00101DEC"/>
    <w:rsid w:val="00102C6C"/>
    <w:rsid w:val="00104C6A"/>
    <w:rsid w:val="001053F0"/>
    <w:rsid w:val="00105CF4"/>
    <w:rsid w:val="00113426"/>
    <w:rsid w:val="001148BE"/>
    <w:rsid w:val="00114E6D"/>
    <w:rsid w:val="00121779"/>
    <w:rsid w:val="0012248B"/>
    <w:rsid w:val="00124963"/>
    <w:rsid w:val="00131646"/>
    <w:rsid w:val="00131CAB"/>
    <w:rsid w:val="00133763"/>
    <w:rsid w:val="0014362B"/>
    <w:rsid w:val="001444D4"/>
    <w:rsid w:val="00154072"/>
    <w:rsid w:val="00164E8B"/>
    <w:rsid w:val="00166196"/>
    <w:rsid w:val="001725CC"/>
    <w:rsid w:val="001737D7"/>
    <w:rsid w:val="00176750"/>
    <w:rsid w:val="0018191E"/>
    <w:rsid w:val="00184BD7"/>
    <w:rsid w:val="001852F8"/>
    <w:rsid w:val="001874B3"/>
    <w:rsid w:val="001877D1"/>
    <w:rsid w:val="00192281"/>
    <w:rsid w:val="00193E07"/>
    <w:rsid w:val="001943CD"/>
    <w:rsid w:val="00195F22"/>
    <w:rsid w:val="00197D53"/>
    <w:rsid w:val="001A14F7"/>
    <w:rsid w:val="001A59F7"/>
    <w:rsid w:val="001A5AE8"/>
    <w:rsid w:val="001A5D14"/>
    <w:rsid w:val="001A7BD6"/>
    <w:rsid w:val="001B5466"/>
    <w:rsid w:val="001C1864"/>
    <w:rsid w:val="001C4DEF"/>
    <w:rsid w:val="001C4EF9"/>
    <w:rsid w:val="001E21F8"/>
    <w:rsid w:val="001E3204"/>
    <w:rsid w:val="001E4C49"/>
    <w:rsid w:val="001F1FBA"/>
    <w:rsid w:val="001F555B"/>
    <w:rsid w:val="001F58ED"/>
    <w:rsid w:val="00201E46"/>
    <w:rsid w:val="00204C84"/>
    <w:rsid w:val="002075DE"/>
    <w:rsid w:val="0020795D"/>
    <w:rsid w:val="00220A84"/>
    <w:rsid w:val="00223382"/>
    <w:rsid w:val="00223570"/>
    <w:rsid w:val="00224CF8"/>
    <w:rsid w:val="00225C95"/>
    <w:rsid w:val="00230410"/>
    <w:rsid w:val="00230AAB"/>
    <w:rsid w:val="0023562B"/>
    <w:rsid w:val="00237F2A"/>
    <w:rsid w:val="002424A0"/>
    <w:rsid w:val="002434A0"/>
    <w:rsid w:val="0024413B"/>
    <w:rsid w:val="002458D5"/>
    <w:rsid w:val="00245CA7"/>
    <w:rsid w:val="002479F0"/>
    <w:rsid w:val="0025127F"/>
    <w:rsid w:val="00253C6C"/>
    <w:rsid w:val="0025553F"/>
    <w:rsid w:val="00256066"/>
    <w:rsid w:val="002571B4"/>
    <w:rsid w:val="00257A30"/>
    <w:rsid w:val="002659B9"/>
    <w:rsid w:val="00273F29"/>
    <w:rsid w:val="00277D38"/>
    <w:rsid w:val="00282143"/>
    <w:rsid w:val="00284D19"/>
    <w:rsid w:val="00285B13"/>
    <w:rsid w:val="0028703C"/>
    <w:rsid w:val="0029428D"/>
    <w:rsid w:val="002946B0"/>
    <w:rsid w:val="002A2732"/>
    <w:rsid w:val="002B03D9"/>
    <w:rsid w:val="002B2761"/>
    <w:rsid w:val="002C11C0"/>
    <w:rsid w:val="002C37DE"/>
    <w:rsid w:val="002C5A3E"/>
    <w:rsid w:val="002D16CF"/>
    <w:rsid w:val="002D37A4"/>
    <w:rsid w:val="002D48FF"/>
    <w:rsid w:val="002D59D4"/>
    <w:rsid w:val="002D6AB2"/>
    <w:rsid w:val="002D6F0A"/>
    <w:rsid w:val="002E0229"/>
    <w:rsid w:val="002E31F8"/>
    <w:rsid w:val="002E6CF8"/>
    <w:rsid w:val="002F4FD1"/>
    <w:rsid w:val="003057A9"/>
    <w:rsid w:val="0030774C"/>
    <w:rsid w:val="003111EB"/>
    <w:rsid w:val="00311A14"/>
    <w:rsid w:val="00313DC4"/>
    <w:rsid w:val="0031713E"/>
    <w:rsid w:val="00317722"/>
    <w:rsid w:val="00320557"/>
    <w:rsid w:val="00332227"/>
    <w:rsid w:val="0033319B"/>
    <w:rsid w:val="00333B0E"/>
    <w:rsid w:val="00337066"/>
    <w:rsid w:val="00343136"/>
    <w:rsid w:val="0034604C"/>
    <w:rsid w:val="003473C0"/>
    <w:rsid w:val="003509F5"/>
    <w:rsid w:val="003518B9"/>
    <w:rsid w:val="0035377B"/>
    <w:rsid w:val="0036405F"/>
    <w:rsid w:val="00364732"/>
    <w:rsid w:val="00364A02"/>
    <w:rsid w:val="00365381"/>
    <w:rsid w:val="003718B3"/>
    <w:rsid w:val="00372395"/>
    <w:rsid w:val="00377E41"/>
    <w:rsid w:val="00380DE5"/>
    <w:rsid w:val="00386C00"/>
    <w:rsid w:val="00387023"/>
    <w:rsid w:val="0038757E"/>
    <w:rsid w:val="0039518C"/>
    <w:rsid w:val="00395C7E"/>
    <w:rsid w:val="003977CC"/>
    <w:rsid w:val="003A10EA"/>
    <w:rsid w:val="003A1A79"/>
    <w:rsid w:val="003A6855"/>
    <w:rsid w:val="003B0385"/>
    <w:rsid w:val="003B0F36"/>
    <w:rsid w:val="003B36DD"/>
    <w:rsid w:val="003B6F39"/>
    <w:rsid w:val="003B7414"/>
    <w:rsid w:val="003C3200"/>
    <w:rsid w:val="003C5790"/>
    <w:rsid w:val="003C57BA"/>
    <w:rsid w:val="003D36F0"/>
    <w:rsid w:val="003D5799"/>
    <w:rsid w:val="003D5CC6"/>
    <w:rsid w:val="003E31BF"/>
    <w:rsid w:val="003E3B87"/>
    <w:rsid w:val="003F0D53"/>
    <w:rsid w:val="003F0FF1"/>
    <w:rsid w:val="003F2F01"/>
    <w:rsid w:val="003F3306"/>
    <w:rsid w:val="003F7DA4"/>
    <w:rsid w:val="00403C85"/>
    <w:rsid w:val="00410A52"/>
    <w:rsid w:val="00413784"/>
    <w:rsid w:val="00417163"/>
    <w:rsid w:val="004200AF"/>
    <w:rsid w:val="00424422"/>
    <w:rsid w:val="004326F2"/>
    <w:rsid w:val="00432B6D"/>
    <w:rsid w:val="00433F55"/>
    <w:rsid w:val="00433FAB"/>
    <w:rsid w:val="0044584A"/>
    <w:rsid w:val="004527D2"/>
    <w:rsid w:val="00455125"/>
    <w:rsid w:val="004673C5"/>
    <w:rsid w:val="00470C45"/>
    <w:rsid w:val="004727EA"/>
    <w:rsid w:val="00473B83"/>
    <w:rsid w:val="00473F29"/>
    <w:rsid w:val="00477D2F"/>
    <w:rsid w:val="0048162A"/>
    <w:rsid w:val="00483D2B"/>
    <w:rsid w:val="00484FF3"/>
    <w:rsid w:val="00493AE8"/>
    <w:rsid w:val="004A1587"/>
    <w:rsid w:val="004A1B57"/>
    <w:rsid w:val="004A20E9"/>
    <w:rsid w:val="004A3CF4"/>
    <w:rsid w:val="004A64FC"/>
    <w:rsid w:val="004B395B"/>
    <w:rsid w:val="004C0D40"/>
    <w:rsid w:val="004C18C0"/>
    <w:rsid w:val="004C3BBA"/>
    <w:rsid w:val="004C53EA"/>
    <w:rsid w:val="004D05FD"/>
    <w:rsid w:val="004D1655"/>
    <w:rsid w:val="004D5E69"/>
    <w:rsid w:val="004D6007"/>
    <w:rsid w:val="004E13AC"/>
    <w:rsid w:val="004E17F1"/>
    <w:rsid w:val="004E6BB0"/>
    <w:rsid w:val="004F3B33"/>
    <w:rsid w:val="004F6E26"/>
    <w:rsid w:val="00500080"/>
    <w:rsid w:val="0050331C"/>
    <w:rsid w:val="005046D6"/>
    <w:rsid w:val="00504BEA"/>
    <w:rsid w:val="00504FDC"/>
    <w:rsid w:val="005054C7"/>
    <w:rsid w:val="0051511E"/>
    <w:rsid w:val="005158C5"/>
    <w:rsid w:val="005178FE"/>
    <w:rsid w:val="00520AE6"/>
    <w:rsid w:val="005233D4"/>
    <w:rsid w:val="00524012"/>
    <w:rsid w:val="00525D9D"/>
    <w:rsid w:val="00527A2F"/>
    <w:rsid w:val="00540D60"/>
    <w:rsid w:val="00545A88"/>
    <w:rsid w:val="00550830"/>
    <w:rsid w:val="0055413D"/>
    <w:rsid w:val="005561D0"/>
    <w:rsid w:val="005630B7"/>
    <w:rsid w:val="00563B4A"/>
    <w:rsid w:val="0056761C"/>
    <w:rsid w:val="00567CEB"/>
    <w:rsid w:val="00570DAB"/>
    <w:rsid w:val="00570F22"/>
    <w:rsid w:val="005714AE"/>
    <w:rsid w:val="00574681"/>
    <w:rsid w:val="00574C77"/>
    <w:rsid w:val="00576CBB"/>
    <w:rsid w:val="00580857"/>
    <w:rsid w:val="005A0968"/>
    <w:rsid w:val="005A4A4F"/>
    <w:rsid w:val="005A5A33"/>
    <w:rsid w:val="005A7911"/>
    <w:rsid w:val="005B152B"/>
    <w:rsid w:val="005B179D"/>
    <w:rsid w:val="005C2009"/>
    <w:rsid w:val="005C5EF2"/>
    <w:rsid w:val="005D1F05"/>
    <w:rsid w:val="005D33B2"/>
    <w:rsid w:val="005D422E"/>
    <w:rsid w:val="005D52E0"/>
    <w:rsid w:val="005D532B"/>
    <w:rsid w:val="005D59CC"/>
    <w:rsid w:val="005D7054"/>
    <w:rsid w:val="005E268E"/>
    <w:rsid w:val="005E32EC"/>
    <w:rsid w:val="005E3FAC"/>
    <w:rsid w:val="005F097D"/>
    <w:rsid w:val="005F3A6D"/>
    <w:rsid w:val="005F73F6"/>
    <w:rsid w:val="006009BE"/>
    <w:rsid w:val="00603C16"/>
    <w:rsid w:val="00604D70"/>
    <w:rsid w:val="00607C88"/>
    <w:rsid w:val="006144FF"/>
    <w:rsid w:val="00614F57"/>
    <w:rsid w:val="00615515"/>
    <w:rsid w:val="006156C2"/>
    <w:rsid w:val="00620E7E"/>
    <w:rsid w:val="006237C0"/>
    <w:rsid w:val="00623B39"/>
    <w:rsid w:val="006252D6"/>
    <w:rsid w:val="00635285"/>
    <w:rsid w:val="00635C14"/>
    <w:rsid w:val="006400A7"/>
    <w:rsid w:val="00642D95"/>
    <w:rsid w:val="00643021"/>
    <w:rsid w:val="00643571"/>
    <w:rsid w:val="00644C78"/>
    <w:rsid w:val="00650D3C"/>
    <w:rsid w:val="00652422"/>
    <w:rsid w:val="00655341"/>
    <w:rsid w:val="006600EB"/>
    <w:rsid w:val="006601FA"/>
    <w:rsid w:val="00662DA4"/>
    <w:rsid w:val="00663C33"/>
    <w:rsid w:val="00665227"/>
    <w:rsid w:val="006721A5"/>
    <w:rsid w:val="00674157"/>
    <w:rsid w:val="00674B3B"/>
    <w:rsid w:val="00685314"/>
    <w:rsid w:val="0068795F"/>
    <w:rsid w:val="00687A8B"/>
    <w:rsid w:val="00692B8F"/>
    <w:rsid w:val="006A0BD9"/>
    <w:rsid w:val="006A357F"/>
    <w:rsid w:val="006A3DF6"/>
    <w:rsid w:val="006A4D05"/>
    <w:rsid w:val="006A5AC4"/>
    <w:rsid w:val="006B0E76"/>
    <w:rsid w:val="006B633B"/>
    <w:rsid w:val="006B79BF"/>
    <w:rsid w:val="006C2AFA"/>
    <w:rsid w:val="006D4072"/>
    <w:rsid w:val="006D663F"/>
    <w:rsid w:val="006D715D"/>
    <w:rsid w:val="006D71BE"/>
    <w:rsid w:val="006E1E78"/>
    <w:rsid w:val="006E438C"/>
    <w:rsid w:val="006E702A"/>
    <w:rsid w:val="00700CE7"/>
    <w:rsid w:val="00702865"/>
    <w:rsid w:val="00704414"/>
    <w:rsid w:val="00704935"/>
    <w:rsid w:val="00704B8E"/>
    <w:rsid w:val="00705130"/>
    <w:rsid w:val="0071056C"/>
    <w:rsid w:val="00710F20"/>
    <w:rsid w:val="007150E4"/>
    <w:rsid w:val="00715147"/>
    <w:rsid w:val="007236B2"/>
    <w:rsid w:val="00723984"/>
    <w:rsid w:val="00723A08"/>
    <w:rsid w:val="0072659C"/>
    <w:rsid w:val="00737888"/>
    <w:rsid w:val="007430D3"/>
    <w:rsid w:val="00750F85"/>
    <w:rsid w:val="00753D15"/>
    <w:rsid w:val="007561A3"/>
    <w:rsid w:val="0076286C"/>
    <w:rsid w:val="007659E7"/>
    <w:rsid w:val="00766E38"/>
    <w:rsid w:val="00771A92"/>
    <w:rsid w:val="00772203"/>
    <w:rsid w:val="00782186"/>
    <w:rsid w:val="00783926"/>
    <w:rsid w:val="00785CE7"/>
    <w:rsid w:val="007870F0"/>
    <w:rsid w:val="00790702"/>
    <w:rsid w:val="00792E49"/>
    <w:rsid w:val="00793144"/>
    <w:rsid w:val="00797A13"/>
    <w:rsid w:val="007A2287"/>
    <w:rsid w:val="007A4C44"/>
    <w:rsid w:val="007B1B84"/>
    <w:rsid w:val="007B2B19"/>
    <w:rsid w:val="007B51F6"/>
    <w:rsid w:val="007C023A"/>
    <w:rsid w:val="007C340F"/>
    <w:rsid w:val="007D21A3"/>
    <w:rsid w:val="007D7791"/>
    <w:rsid w:val="007E226A"/>
    <w:rsid w:val="007E48B0"/>
    <w:rsid w:val="007F694A"/>
    <w:rsid w:val="00811F97"/>
    <w:rsid w:val="008146AF"/>
    <w:rsid w:val="00816E52"/>
    <w:rsid w:val="00827AF9"/>
    <w:rsid w:val="008301E0"/>
    <w:rsid w:val="0083399A"/>
    <w:rsid w:val="008367C6"/>
    <w:rsid w:val="00861716"/>
    <w:rsid w:val="00862FB7"/>
    <w:rsid w:val="008650F4"/>
    <w:rsid w:val="008666E6"/>
    <w:rsid w:val="00871D3D"/>
    <w:rsid w:val="00876C83"/>
    <w:rsid w:val="008819E3"/>
    <w:rsid w:val="00891C74"/>
    <w:rsid w:val="00893A65"/>
    <w:rsid w:val="00897657"/>
    <w:rsid w:val="008A1B4D"/>
    <w:rsid w:val="008A76E4"/>
    <w:rsid w:val="008C1602"/>
    <w:rsid w:val="008C7846"/>
    <w:rsid w:val="008C7F15"/>
    <w:rsid w:val="008D051A"/>
    <w:rsid w:val="008D09B8"/>
    <w:rsid w:val="008D0FB5"/>
    <w:rsid w:val="008D1426"/>
    <w:rsid w:val="008D5200"/>
    <w:rsid w:val="008D5932"/>
    <w:rsid w:val="008D5A8B"/>
    <w:rsid w:val="008E3130"/>
    <w:rsid w:val="008E31C5"/>
    <w:rsid w:val="008E671B"/>
    <w:rsid w:val="008F0ABA"/>
    <w:rsid w:val="0090006D"/>
    <w:rsid w:val="0091195C"/>
    <w:rsid w:val="0091252B"/>
    <w:rsid w:val="009171B1"/>
    <w:rsid w:val="009212F0"/>
    <w:rsid w:val="00924DAD"/>
    <w:rsid w:val="00930707"/>
    <w:rsid w:val="00932FE6"/>
    <w:rsid w:val="00935C7E"/>
    <w:rsid w:val="00936856"/>
    <w:rsid w:val="00937577"/>
    <w:rsid w:val="009377E8"/>
    <w:rsid w:val="00957B58"/>
    <w:rsid w:val="00963997"/>
    <w:rsid w:val="00964A23"/>
    <w:rsid w:val="009660A4"/>
    <w:rsid w:val="009738FF"/>
    <w:rsid w:val="00975932"/>
    <w:rsid w:val="00981AE4"/>
    <w:rsid w:val="00983C70"/>
    <w:rsid w:val="00985D33"/>
    <w:rsid w:val="00987518"/>
    <w:rsid w:val="0099106D"/>
    <w:rsid w:val="009A6BE0"/>
    <w:rsid w:val="009A767F"/>
    <w:rsid w:val="009B02D8"/>
    <w:rsid w:val="009C2D86"/>
    <w:rsid w:val="009C4C27"/>
    <w:rsid w:val="009C7AE4"/>
    <w:rsid w:val="009D5F59"/>
    <w:rsid w:val="009E29A0"/>
    <w:rsid w:val="009E5F0A"/>
    <w:rsid w:val="009E68A7"/>
    <w:rsid w:val="009F42E2"/>
    <w:rsid w:val="009F4AFA"/>
    <w:rsid w:val="009F4CEC"/>
    <w:rsid w:val="009F751F"/>
    <w:rsid w:val="009F76EE"/>
    <w:rsid w:val="009F7C6D"/>
    <w:rsid w:val="00A02B6A"/>
    <w:rsid w:val="00A035A8"/>
    <w:rsid w:val="00A06843"/>
    <w:rsid w:val="00A11FD1"/>
    <w:rsid w:val="00A14403"/>
    <w:rsid w:val="00A20761"/>
    <w:rsid w:val="00A35F92"/>
    <w:rsid w:val="00A4006C"/>
    <w:rsid w:val="00A40265"/>
    <w:rsid w:val="00A41279"/>
    <w:rsid w:val="00A478BF"/>
    <w:rsid w:val="00A52FEF"/>
    <w:rsid w:val="00A57350"/>
    <w:rsid w:val="00A606D4"/>
    <w:rsid w:val="00A60763"/>
    <w:rsid w:val="00A65B7B"/>
    <w:rsid w:val="00A65EEC"/>
    <w:rsid w:val="00A66DE7"/>
    <w:rsid w:val="00A72289"/>
    <w:rsid w:val="00A81B8D"/>
    <w:rsid w:val="00A93267"/>
    <w:rsid w:val="00A9443E"/>
    <w:rsid w:val="00A94ED8"/>
    <w:rsid w:val="00A95655"/>
    <w:rsid w:val="00A9787F"/>
    <w:rsid w:val="00AC044A"/>
    <w:rsid w:val="00AC245C"/>
    <w:rsid w:val="00AC58DF"/>
    <w:rsid w:val="00AC5F16"/>
    <w:rsid w:val="00AE2C1A"/>
    <w:rsid w:val="00AE3D2A"/>
    <w:rsid w:val="00AF125F"/>
    <w:rsid w:val="00AF2CE9"/>
    <w:rsid w:val="00AF3A79"/>
    <w:rsid w:val="00AF6590"/>
    <w:rsid w:val="00AF79DE"/>
    <w:rsid w:val="00AF7B21"/>
    <w:rsid w:val="00B00059"/>
    <w:rsid w:val="00B00AE6"/>
    <w:rsid w:val="00B02CAD"/>
    <w:rsid w:val="00B10C6F"/>
    <w:rsid w:val="00B12B3E"/>
    <w:rsid w:val="00B15286"/>
    <w:rsid w:val="00B20B6E"/>
    <w:rsid w:val="00B22B45"/>
    <w:rsid w:val="00B23431"/>
    <w:rsid w:val="00B27D8A"/>
    <w:rsid w:val="00B32BEF"/>
    <w:rsid w:val="00B423B9"/>
    <w:rsid w:val="00B43606"/>
    <w:rsid w:val="00B506D2"/>
    <w:rsid w:val="00B50BD4"/>
    <w:rsid w:val="00B54FEE"/>
    <w:rsid w:val="00B5734A"/>
    <w:rsid w:val="00B62266"/>
    <w:rsid w:val="00B639A0"/>
    <w:rsid w:val="00B71818"/>
    <w:rsid w:val="00B71A7C"/>
    <w:rsid w:val="00B74B76"/>
    <w:rsid w:val="00B76CAC"/>
    <w:rsid w:val="00B7740E"/>
    <w:rsid w:val="00B778E5"/>
    <w:rsid w:val="00B852D3"/>
    <w:rsid w:val="00B86284"/>
    <w:rsid w:val="00B86783"/>
    <w:rsid w:val="00B86A9B"/>
    <w:rsid w:val="00B872FD"/>
    <w:rsid w:val="00B94D55"/>
    <w:rsid w:val="00B94FAA"/>
    <w:rsid w:val="00B95067"/>
    <w:rsid w:val="00BA078B"/>
    <w:rsid w:val="00BA0C6B"/>
    <w:rsid w:val="00BA47E5"/>
    <w:rsid w:val="00BA5705"/>
    <w:rsid w:val="00BB4029"/>
    <w:rsid w:val="00BB4305"/>
    <w:rsid w:val="00BB4B0F"/>
    <w:rsid w:val="00BB5D8F"/>
    <w:rsid w:val="00BB60CF"/>
    <w:rsid w:val="00BB7538"/>
    <w:rsid w:val="00BC10D4"/>
    <w:rsid w:val="00BC2AC4"/>
    <w:rsid w:val="00BC5480"/>
    <w:rsid w:val="00BC5AD8"/>
    <w:rsid w:val="00BD09D1"/>
    <w:rsid w:val="00BD4112"/>
    <w:rsid w:val="00BD7BD9"/>
    <w:rsid w:val="00BE4F4E"/>
    <w:rsid w:val="00BF085A"/>
    <w:rsid w:val="00BF407A"/>
    <w:rsid w:val="00BF71A3"/>
    <w:rsid w:val="00BF7D5C"/>
    <w:rsid w:val="00C0240C"/>
    <w:rsid w:val="00C105EE"/>
    <w:rsid w:val="00C10A54"/>
    <w:rsid w:val="00C122CB"/>
    <w:rsid w:val="00C21D16"/>
    <w:rsid w:val="00C228C0"/>
    <w:rsid w:val="00C22F0F"/>
    <w:rsid w:val="00C22FFA"/>
    <w:rsid w:val="00C3088C"/>
    <w:rsid w:val="00C32D12"/>
    <w:rsid w:val="00C377D7"/>
    <w:rsid w:val="00C40C30"/>
    <w:rsid w:val="00C42917"/>
    <w:rsid w:val="00C431B0"/>
    <w:rsid w:val="00C446DC"/>
    <w:rsid w:val="00C62337"/>
    <w:rsid w:val="00C65BAD"/>
    <w:rsid w:val="00C679BA"/>
    <w:rsid w:val="00C70BFE"/>
    <w:rsid w:val="00C74138"/>
    <w:rsid w:val="00C74F45"/>
    <w:rsid w:val="00C85BD2"/>
    <w:rsid w:val="00C86BD5"/>
    <w:rsid w:val="00C95AC4"/>
    <w:rsid w:val="00CA1859"/>
    <w:rsid w:val="00CA3578"/>
    <w:rsid w:val="00CA50A8"/>
    <w:rsid w:val="00CB08FB"/>
    <w:rsid w:val="00CB0C9F"/>
    <w:rsid w:val="00CB2DD0"/>
    <w:rsid w:val="00CB32B9"/>
    <w:rsid w:val="00CB69EA"/>
    <w:rsid w:val="00CC68B7"/>
    <w:rsid w:val="00CD384D"/>
    <w:rsid w:val="00CD4780"/>
    <w:rsid w:val="00CD55AC"/>
    <w:rsid w:val="00CE1B43"/>
    <w:rsid w:val="00CF2AE7"/>
    <w:rsid w:val="00CF2C57"/>
    <w:rsid w:val="00CF406E"/>
    <w:rsid w:val="00D00F7B"/>
    <w:rsid w:val="00D01816"/>
    <w:rsid w:val="00D05AE9"/>
    <w:rsid w:val="00D11299"/>
    <w:rsid w:val="00D16390"/>
    <w:rsid w:val="00D1694A"/>
    <w:rsid w:val="00D21441"/>
    <w:rsid w:val="00D22F3E"/>
    <w:rsid w:val="00D23731"/>
    <w:rsid w:val="00D33C33"/>
    <w:rsid w:val="00D4190D"/>
    <w:rsid w:val="00D43D2A"/>
    <w:rsid w:val="00D46431"/>
    <w:rsid w:val="00D4692C"/>
    <w:rsid w:val="00D50F17"/>
    <w:rsid w:val="00D52AA5"/>
    <w:rsid w:val="00D54EB6"/>
    <w:rsid w:val="00D56894"/>
    <w:rsid w:val="00D64131"/>
    <w:rsid w:val="00D65518"/>
    <w:rsid w:val="00D6595D"/>
    <w:rsid w:val="00D65BFE"/>
    <w:rsid w:val="00D66734"/>
    <w:rsid w:val="00D722CC"/>
    <w:rsid w:val="00D75187"/>
    <w:rsid w:val="00D75D1B"/>
    <w:rsid w:val="00D76D85"/>
    <w:rsid w:val="00D7781A"/>
    <w:rsid w:val="00D930FB"/>
    <w:rsid w:val="00D94B60"/>
    <w:rsid w:val="00DA1F2F"/>
    <w:rsid w:val="00DA5187"/>
    <w:rsid w:val="00DB7E19"/>
    <w:rsid w:val="00DC0C34"/>
    <w:rsid w:val="00DC7A44"/>
    <w:rsid w:val="00DD2F23"/>
    <w:rsid w:val="00DE0791"/>
    <w:rsid w:val="00DE1F2B"/>
    <w:rsid w:val="00DE34FD"/>
    <w:rsid w:val="00DF0603"/>
    <w:rsid w:val="00DF5153"/>
    <w:rsid w:val="00DF5A37"/>
    <w:rsid w:val="00E00299"/>
    <w:rsid w:val="00E00E6E"/>
    <w:rsid w:val="00E05E7B"/>
    <w:rsid w:val="00E11852"/>
    <w:rsid w:val="00E16509"/>
    <w:rsid w:val="00E248B5"/>
    <w:rsid w:val="00E33346"/>
    <w:rsid w:val="00E33AA3"/>
    <w:rsid w:val="00E4080D"/>
    <w:rsid w:val="00E40DEA"/>
    <w:rsid w:val="00E44FD9"/>
    <w:rsid w:val="00E47D9B"/>
    <w:rsid w:val="00E47FD9"/>
    <w:rsid w:val="00E55E3A"/>
    <w:rsid w:val="00E615A5"/>
    <w:rsid w:val="00E62672"/>
    <w:rsid w:val="00E6518B"/>
    <w:rsid w:val="00E66DC0"/>
    <w:rsid w:val="00E679E5"/>
    <w:rsid w:val="00E87729"/>
    <w:rsid w:val="00E902FC"/>
    <w:rsid w:val="00E90489"/>
    <w:rsid w:val="00E90F42"/>
    <w:rsid w:val="00E941CF"/>
    <w:rsid w:val="00E979D5"/>
    <w:rsid w:val="00E97D0B"/>
    <w:rsid w:val="00EA37F7"/>
    <w:rsid w:val="00EA504A"/>
    <w:rsid w:val="00EA588D"/>
    <w:rsid w:val="00EB0370"/>
    <w:rsid w:val="00EB03F7"/>
    <w:rsid w:val="00EB0FC1"/>
    <w:rsid w:val="00EB1CFD"/>
    <w:rsid w:val="00EB3E56"/>
    <w:rsid w:val="00EB7CE1"/>
    <w:rsid w:val="00EC089E"/>
    <w:rsid w:val="00EC153A"/>
    <w:rsid w:val="00EC64C5"/>
    <w:rsid w:val="00EE4AFB"/>
    <w:rsid w:val="00EF1D64"/>
    <w:rsid w:val="00EF4317"/>
    <w:rsid w:val="00EF53CF"/>
    <w:rsid w:val="00F01AB6"/>
    <w:rsid w:val="00F04C5F"/>
    <w:rsid w:val="00F0797C"/>
    <w:rsid w:val="00F103D7"/>
    <w:rsid w:val="00F139D0"/>
    <w:rsid w:val="00F21137"/>
    <w:rsid w:val="00F25473"/>
    <w:rsid w:val="00F25807"/>
    <w:rsid w:val="00F3061D"/>
    <w:rsid w:val="00F33337"/>
    <w:rsid w:val="00F3336C"/>
    <w:rsid w:val="00F34142"/>
    <w:rsid w:val="00F3493A"/>
    <w:rsid w:val="00F408CF"/>
    <w:rsid w:val="00F50762"/>
    <w:rsid w:val="00F50F37"/>
    <w:rsid w:val="00F55F08"/>
    <w:rsid w:val="00F570CD"/>
    <w:rsid w:val="00F6142D"/>
    <w:rsid w:val="00F61D1F"/>
    <w:rsid w:val="00F63781"/>
    <w:rsid w:val="00F65DC4"/>
    <w:rsid w:val="00F772AB"/>
    <w:rsid w:val="00F77F13"/>
    <w:rsid w:val="00F80F18"/>
    <w:rsid w:val="00F836C6"/>
    <w:rsid w:val="00F862B0"/>
    <w:rsid w:val="00F878A7"/>
    <w:rsid w:val="00F90C9F"/>
    <w:rsid w:val="00F91660"/>
    <w:rsid w:val="00F94172"/>
    <w:rsid w:val="00F9592C"/>
    <w:rsid w:val="00F97687"/>
    <w:rsid w:val="00FA099B"/>
    <w:rsid w:val="00FA37AB"/>
    <w:rsid w:val="00FA443E"/>
    <w:rsid w:val="00FB0B1E"/>
    <w:rsid w:val="00FB25D0"/>
    <w:rsid w:val="00FB35A1"/>
    <w:rsid w:val="00FB5099"/>
    <w:rsid w:val="00FB6D3E"/>
    <w:rsid w:val="00FC01C4"/>
    <w:rsid w:val="00FC2D11"/>
    <w:rsid w:val="00FC4115"/>
    <w:rsid w:val="00FC746D"/>
    <w:rsid w:val="00FC77C4"/>
    <w:rsid w:val="00FC7927"/>
    <w:rsid w:val="00FC7FCB"/>
    <w:rsid w:val="00FD0F36"/>
    <w:rsid w:val="00FD362D"/>
    <w:rsid w:val="00FD6522"/>
    <w:rsid w:val="00FD69B2"/>
    <w:rsid w:val="00FD70D7"/>
    <w:rsid w:val="00FE1639"/>
    <w:rsid w:val="00FE2F46"/>
    <w:rsid w:val="00FE411E"/>
    <w:rsid w:val="00FE571C"/>
    <w:rsid w:val="00FE5D5F"/>
    <w:rsid w:val="00FF7E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E07FCC"/>
  <w15:chartTrackingRefBased/>
  <w15:docId w15:val="{353BF3AB-92B4-48F9-B80B-F9866809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6B2"/>
    <w:pPr>
      <w:spacing w:after="0" w:line="240" w:lineRule="auto"/>
    </w:pPr>
    <w:rPr>
      <w:rFonts w:eastAsia="Times New Roman" w:cs="Times New Roman"/>
      <w:szCs w:val="24"/>
      <w:lang w:val="en-AU"/>
    </w:rPr>
  </w:style>
  <w:style w:type="paragraph" w:styleId="Heading1">
    <w:name w:val="heading 1"/>
    <w:basedOn w:val="Normal"/>
    <w:next w:val="Normal"/>
    <w:link w:val="Heading1Char"/>
    <w:uiPriority w:val="9"/>
    <w:qFormat/>
    <w:rsid w:val="00CB32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09F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1AB6"/>
    <w:pPr>
      <w:keepNext/>
      <w:keepLines/>
      <w:spacing w:before="160" w:after="12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7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77B"/>
    <w:rPr>
      <w:rFonts w:ascii="Segoe UI" w:hAnsi="Segoe UI" w:cs="Segoe UI"/>
      <w:sz w:val="18"/>
      <w:szCs w:val="18"/>
    </w:rPr>
  </w:style>
  <w:style w:type="paragraph" w:styleId="ListParagraph">
    <w:name w:val="List Paragraph"/>
    <w:basedOn w:val="Normal"/>
    <w:uiPriority w:val="34"/>
    <w:qFormat/>
    <w:rsid w:val="0035377B"/>
    <w:pPr>
      <w:spacing w:after="160" w:line="259" w:lineRule="auto"/>
      <w:ind w:left="720"/>
      <w:contextualSpacing/>
    </w:pPr>
    <w:rPr>
      <w:rFonts w:eastAsiaTheme="minorHAnsi" w:cstheme="minorBidi"/>
      <w:szCs w:val="22"/>
      <w:lang w:val="en-NZ"/>
    </w:rPr>
  </w:style>
  <w:style w:type="character" w:styleId="CommentReference">
    <w:name w:val="annotation reference"/>
    <w:basedOn w:val="DefaultParagraphFont"/>
    <w:uiPriority w:val="99"/>
    <w:semiHidden/>
    <w:unhideWhenUsed/>
    <w:rsid w:val="00F50762"/>
    <w:rPr>
      <w:sz w:val="16"/>
      <w:szCs w:val="16"/>
    </w:rPr>
  </w:style>
  <w:style w:type="paragraph" w:styleId="CommentText">
    <w:name w:val="annotation text"/>
    <w:basedOn w:val="Normal"/>
    <w:link w:val="CommentTextChar"/>
    <w:uiPriority w:val="99"/>
    <w:unhideWhenUsed/>
    <w:rsid w:val="00F50762"/>
    <w:pPr>
      <w:spacing w:after="160"/>
    </w:pPr>
    <w:rPr>
      <w:rFonts w:eastAsiaTheme="minorHAnsi" w:cstheme="minorBidi"/>
      <w:sz w:val="20"/>
      <w:szCs w:val="20"/>
      <w:lang w:val="en-NZ"/>
    </w:rPr>
  </w:style>
  <w:style w:type="character" w:customStyle="1" w:styleId="CommentTextChar">
    <w:name w:val="Comment Text Char"/>
    <w:basedOn w:val="DefaultParagraphFont"/>
    <w:link w:val="CommentText"/>
    <w:uiPriority w:val="99"/>
    <w:rsid w:val="00F50762"/>
    <w:rPr>
      <w:sz w:val="20"/>
      <w:szCs w:val="20"/>
    </w:rPr>
  </w:style>
  <w:style w:type="paragraph" w:customStyle="1" w:styleId="Default">
    <w:name w:val="Default"/>
    <w:rsid w:val="00101DEC"/>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BA47E5"/>
    <w:pPr>
      <w:spacing w:after="0"/>
    </w:pPr>
    <w:rPr>
      <w:rFonts w:ascii="Tahoma" w:eastAsia="Times New Roman" w:hAnsi="Tahoma" w:cs="Times New Roman"/>
      <w:b/>
      <w:bCs/>
      <w:lang w:val="en-AU"/>
    </w:rPr>
  </w:style>
  <w:style w:type="character" w:customStyle="1" w:styleId="CommentSubjectChar">
    <w:name w:val="Comment Subject Char"/>
    <w:basedOn w:val="CommentTextChar"/>
    <w:link w:val="CommentSubject"/>
    <w:uiPriority w:val="99"/>
    <w:semiHidden/>
    <w:rsid w:val="00BA47E5"/>
    <w:rPr>
      <w:rFonts w:ascii="Tahoma" w:eastAsia="Times New Roman" w:hAnsi="Tahoma" w:cs="Times New Roman"/>
      <w:b/>
      <w:bCs/>
      <w:sz w:val="20"/>
      <w:szCs w:val="20"/>
      <w:lang w:val="en-AU"/>
    </w:rPr>
  </w:style>
  <w:style w:type="character" w:customStyle="1" w:styleId="Heading1Char">
    <w:name w:val="Heading 1 Char"/>
    <w:basedOn w:val="DefaultParagraphFont"/>
    <w:link w:val="Heading1"/>
    <w:uiPriority w:val="9"/>
    <w:rsid w:val="00CB32B9"/>
    <w:rPr>
      <w:rFonts w:asciiTheme="majorHAnsi" w:eastAsiaTheme="majorEastAsia" w:hAnsiTheme="majorHAnsi" w:cstheme="majorBidi"/>
      <w:color w:val="2F5496" w:themeColor="accent1" w:themeShade="BF"/>
      <w:sz w:val="32"/>
      <w:szCs w:val="32"/>
      <w:lang w:val="en-AU"/>
    </w:rPr>
  </w:style>
  <w:style w:type="paragraph" w:styleId="Title">
    <w:name w:val="Title"/>
    <w:basedOn w:val="Normal"/>
    <w:next w:val="Normal"/>
    <w:link w:val="TitleChar"/>
    <w:uiPriority w:val="10"/>
    <w:qFormat/>
    <w:rsid w:val="00CB32B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32B9"/>
    <w:rPr>
      <w:rFonts w:asciiTheme="majorHAnsi" w:eastAsiaTheme="majorEastAsia" w:hAnsiTheme="majorHAnsi" w:cstheme="majorBidi"/>
      <w:spacing w:val="-10"/>
      <w:kern w:val="28"/>
      <w:sz w:val="56"/>
      <w:szCs w:val="56"/>
      <w:lang w:val="en-AU"/>
    </w:rPr>
  </w:style>
  <w:style w:type="paragraph" w:styleId="FootnoteText">
    <w:name w:val="footnote text"/>
    <w:basedOn w:val="Normal"/>
    <w:link w:val="FootnoteTextChar"/>
    <w:uiPriority w:val="99"/>
    <w:semiHidden/>
    <w:unhideWhenUsed/>
    <w:rsid w:val="000309F9"/>
    <w:rPr>
      <w:rFonts w:eastAsiaTheme="minorHAnsi" w:cstheme="minorBidi"/>
      <w:sz w:val="20"/>
      <w:szCs w:val="20"/>
      <w:lang w:val="en-NZ"/>
    </w:rPr>
  </w:style>
  <w:style w:type="character" w:customStyle="1" w:styleId="FootnoteTextChar">
    <w:name w:val="Footnote Text Char"/>
    <w:basedOn w:val="DefaultParagraphFont"/>
    <w:link w:val="FootnoteText"/>
    <w:uiPriority w:val="99"/>
    <w:semiHidden/>
    <w:rsid w:val="000309F9"/>
    <w:rPr>
      <w:sz w:val="20"/>
      <w:szCs w:val="20"/>
    </w:rPr>
  </w:style>
  <w:style w:type="character" w:styleId="FootnoteReference">
    <w:name w:val="footnote reference"/>
    <w:basedOn w:val="DefaultParagraphFont"/>
    <w:uiPriority w:val="99"/>
    <w:semiHidden/>
    <w:unhideWhenUsed/>
    <w:rsid w:val="000309F9"/>
    <w:rPr>
      <w:vertAlign w:val="superscript"/>
    </w:rPr>
  </w:style>
  <w:style w:type="character" w:customStyle="1" w:styleId="Heading2Char">
    <w:name w:val="Heading 2 Char"/>
    <w:basedOn w:val="DefaultParagraphFont"/>
    <w:link w:val="Heading2"/>
    <w:uiPriority w:val="9"/>
    <w:rsid w:val="000309F9"/>
    <w:rPr>
      <w:rFonts w:asciiTheme="majorHAnsi" w:eastAsiaTheme="majorEastAsia" w:hAnsiTheme="majorHAnsi" w:cstheme="majorBidi"/>
      <w:color w:val="2F5496" w:themeColor="accent1" w:themeShade="BF"/>
      <w:sz w:val="26"/>
      <w:szCs w:val="26"/>
      <w:lang w:val="en-AU"/>
    </w:rPr>
  </w:style>
  <w:style w:type="paragraph" w:styleId="ListBullet">
    <w:name w:val="List Bullet"/>
    <w:basedOn w:val="Normal"/>
    <w:uiPriority w:val="99"/>
    <w:unhideWhenUsed/>
    <w:rsid w:val="00417163"/>
    <w:pPr>
      <w:numPr>
        <w:numId w:val="39"/>
      </w:numPr>
      <w:contextualSpacing/>
    </w:pPr>
  </w:style>
  <w:style w:type="paragraph" w:styleId="Header">
    <w:name w:val="header"/>
    <w:basedOn w:val="Normal"/>
    <w:link w:val="HeaderChar"/>
    <w:uiPriority w:val="99"/>
    <w:unhideWhenUsed/>
    <w:rsid w:val="00D50F17"/>
    <w:pPr>
      <w:tabs>
        <w:tab w:val="center" w:pos="4513"/>
        <w:tab w:val="right" w:pos="9026"/>
      </w:tabs>
    </w:pPr>
  </w:style>
  <w:style w:type="character" w:customStyle="1" w:styleId="HeaderChar">
    <w:name w:val="Header Char"/>
    <w:basedOn w:val="DefaultParagraphFont"/>
    <w:link w:val="Header"/>
    <w:uiPriority w:val="99"/>
    <w:rsid w:val="00D50F17"/>
    <w:rPr>
      <w:rFonts w:ascii="Tahoma" w:eastAsia="Times New Roman" w:hAnsi="Tahoma" w:cs="Times New Roman"/>
      <w:sz w:val="24"/>
      <w:szCs w:val="24"/>
      <w:lang w:val="en-AU"/>
    </w:rPr>
  </w:style>
  <w:style w:type="paragraph" w:styleId="Footer">
    <w:name w:val="footer"/>
    <w:basedOn w:val="Normal"/>
    <w:link w:val="FooterChar"/>
    <w:uiPriority w:val="99"/>
    <w:unhideWhenUsed/>
    <w:rsid w:val="00D50F17"/>
    <w:pPr>
      <w:tabs>
        <w:tab w:val="center" w:pos="4513"/>
        <w:tab w:val="right" w:pos="9026"/>
      </w:tabs>
    </w:pPr>
  </w:style>
  <w:style w:type="character" w:customStyle="1" w:styleId="FooterChar">
    <w:name w:val="Footer Char"/>
    <w:basedOn w:val="DefaultParagraphFont"/>
    <w:link w:val="Footer"/>
    <w:uiPriority w:val="99"/>
    <w:rsid w:val="00D50F17"/>
    <w:rPr>
      <w:rFonts w:ascii="Tahoma" w:eastAsia="Times New Roman" w:hAnsi="Tahoma" w:cs="Times New Roman"/>
      <w:sz w:val="24"/>
      <w:szCs w:val="24"/>
      <w:lang w:val="en-AU"/>
    </w:rPr>
  </w:style>
  <w:style w:type="paragraph" w:styleId="Revision">
    <w:name w:val="Revision"/>
    <w:hidden/>
    <w:uiPriority w:val="99"/>
    <w:semiHidden/>
    <w:rsid w:val="00E941CF"/>
    <w:pPr>
      <w:spacing w:after="0" w:line="240" w:lineRule="auto"/>
    </w:pPr>
    <w:rPr>
      <w:rFonts w:ascii="Tahoma" w:eastAsia="Times New Roman" w:hAnsi="Tahoma" w:cs="Times New Roman"/>
      <w:sz w:val="24"/>
      <w:szCs w:val="24"/>
      <w:lang w:val="en-AU"/>
    </w:rPr>
  </w:style>
  <w:style w:type="character" w:customStyle="1" w:styleId="Heading3Char">
    <w:name w:val="Heading 3 Char"/>
    <w:basedOn w:val="DefaultParagraphFont"/>
    <w:link w:val="Heading3"/>
    <w:uiPriority w:val="9"/>
    <w:rsid w:val="00F01AB6"/>
    <w:rPr>
      <w:rFonts w:asciiTheme="majorHAnsi" w:eastAsiaTheme="majorEastAsia" w:hAnsiTheme="majorHAnsi" w:cstheme="majorBidi"/>
      <w:color w:val="1F3763" w:themeColor="accent1" w:themeShade="7F"/>
      <w:szCs w:val="24"/>
      <w:lang w:val="en-AU"/>
    </w:rPr>
  </w:style>
  <w:style w:type="character" w:styleId="Hyperlink">
    <w:name w:val="Hyperlink"/>
    <w:basedOn w:val="DefaultParagraphFont"/>
    <w:uiPriority w:val="99"/>
    <w:semiHidden/>
    <w:unhideWhenUsed/>
    <w:rsid w:val="006B633B"/>
    <w:rPr>
      <w:color w:val="0000FF"/>
      <w:u w:val="single"/>
    </w:rPr>
  </w:style>
  <w:style w:type="character" w:styleId="Emphasis">
    <w:name w:val="Emphasis"/>
    <w:basedOn w:val="DefaultParagraphFont"/>
    <w:uiPriority w:val="20"/>
    <w:qFormat/>
    <w:rsid w:val="006252D6"/>
    <w:rPr>
      <w:i/>
      <w:iCs/>
    </w:rPr>
  </w:style>
  <w:style w:type="paragraph" w:styleId="NoSpacing">
    <w:name w:val="No Spacing"/>
    <w:uiPriority w:val="1"/>
    <w:qFormat/>
    <w:rsid w:val="000C1FC7"/>
    <w:pPr>
      <w:spacing w:after="0" w:line="240" w:lineRule="auto"/>
    </w:pPr>
    <w:rPr>
      <w:rFonts w:ascii="Tahoma" w:eastAsia="Times New Roman" w:hAnsi="Tahoma" w:cs="Times New Roman"/>
      <w:sz w:val="24"/>
      <w:szCs w:val="24"/>
      <w:lang w:val="en-AU"/>
    </w:rPr>
  </w:style>
  <w:style w:type="character" w:styleId="SubtleEmphasis">
    <w:name w:val="Subtle Emphasis"/>
    <w:basedOn w:val="DefaultParagraphFont"/>
    <w:uiPriority w:val="19"/>
    <w:qFormat/>
    <w:rsid w:val="00BF7D5C"/>
    <w:rPr>
      <w:i/>
      <w:iCs/>
      <w:color w:val="404040" w:themeColor="text1" w:themeTint="BF"/>
    </w:rPr>
  </w:style>
  <w:style w:type="paragraph" w:customStyle="1" w:styleId="HeadingA">
    <w:name w:val="Heading A"/>
    <w:basedOn w:val="Title"/>
    <w:link w:val="HeadingAChar"/>
    <w:qFormat/>
    <w:rsid w:val="000D2588"/>
  </w:style>
  <w:style w:type="character" w:customStyle="1" w:styleId="HeadingAChar">
    <w:name w:val="Heading A Char"/>
    <w:basedOn w:val="TitleChar"/>
    <w:link w:val="HeadingA"/>
    <w:rsid w:val="000D2588"/>
    <w:rPr>
      <w:rFonts w:asciiTheme="majorHAnsi" w:eastAsiaTheme="majorEastAsia" w:hAnsiTheme="majorHAnsi" w:cstheme="majorBidi"/>
      <w:spacing w:val="-10"/>
      <w:kern w:val="28"/>
      <w:sz w:val="56"/>
      <w:szCs w:val="56"/>
      <w:lang w:val="en-AU"/>
    </w:rPr>
  </w:style>
  <w:style w:type="paragraph" w:styleId="Subtitle">
    <w:name w:val="Subtitle"/>
    <w:basedOn w:val="Normal"/>
    <w:next w:val="Normal"/>
    <w:link w:val="SubtitleChar"/>
    <w:uiPriority w:val="11"/>
    <w:qFormat/>
    <w:rsid w:val="001444D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1444D4"/>
    <w:rPr>
      <w:rFonts w:eastAsiaTheme="minorEastAsia"/>
      <w:color w:val="5A5A5A" w:themeColor="text1" w:themeTint="A5"/>
      <w:spacing w:val="15"/>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1946">
      <w:bodyDiv w:val="1"/>
      <w:marLeft w:val="0"/>
      <w:marRight w:val="0"/>
      <w:marTop w:val="0"/>
      <w:marBottom w:val="0"/>
      <w:divBdr>
        <w:top w:val="none" w:sz="0" w:space="0" w:color="auto"/>
        <w:left w:val="none" w:sz="0" w:space="0" w:color="auto"/>
        <w:bottom w:val="none" w:sz="0" w:space="0" w:color="auto"/>
        <w:right w:val="none" w:sz="0" w:space="0" w:color="auto"/>
      </w:divBdr>
    </w:div>
    <w:div w:id="98720244">
      <w:bodyDiv w:val="1"/>
      <w:marLeft w:val="0"/>
      <w:marRight w:val="0"/>
      <w:marTop w:val="0"/>
      <w:marBottom w:val="0"/>
      <w:divBdr>
        <w:top w:val="none" w:sz="0" w:space="0" w:color="auto"/>
        <w:left w:val="none" w:sz="0" w:space="0" w:color="auto"/>
        <w:bottom w:val="none" w:sz="0" w:space="0" w:color="auto"/>
        <w:right w:val="none" w:sz="0" w:space="0" w:color="auto"/>
      </w:divBdr>
    </w:div>
    <w:div w:id="214589863">
      <w:bodyDiv w:val="1"/>
      <w:marLeft w:val="0"/>
      <w:marRight w:val="0"/>
      <w:marTop w:val="0"/>
      <w:marBottom w:val="0"/>
      <w:divBdr>
        <w:top w:val="none" w:sz="0" w:space="0" w:color="auto"/>
        <w:left w:val="none" w:sz="0" w:space="0" w:color="auto"/>
        <w:bottom w:val="none" w:sz="0" w:space="0" w:color="auto"/>
        <w:right w:val="none" w:sz="0" w:space="0" w:color="auto"/>
      </w:divBdr>
    </w:div>
    <w:div w:id="521363086">
      <w:bodyDiv w:val="1"/>
      <w:marLeft w:val="0"/>
      <w:marRight w:val="0"/>
      <w:marTop w:val="0"/>
      <w:marBottom w:val="0"/>
      <w:divBdr>
        <w:top w:val="none" w:sz="0" w:space="0" w:color="auto"/>
        <w:left w:val="none" w:sz="0" w:space="0" w:color="auto"/>
        <w:bottom w:val="none" w:sz="0" w:space="0" w:color="auto"/>
        <w:right w:val="none" w:sz="0" w:space="0" w:color="auto"/>
      </w:divBdr>
    </w:div>
    <w:div w:id="604772919">
      <w:bodyDiv w:val="1"/>
      <w:marLeft w:val="0"/>
      <w:marRight w:val="0"/>
      <w:marTop w:val="0"/>
      <w:marBottom w:val="0"/>
      <w:divBdr>
        <w:top w:val="none" w:sz="0" w:space="0" w:color="auto"/>
        <w:left w:val="none" w:sz="0" w:space="0" w:color="auto"/>
        <w:bottom w:val="none" w:sz="0" w:space="0" w:color="auto"/>
        <w:right w:val="none" w:sz="0" w:space="0" w:color="auto"/>
      </w:divBdr>
    </w:div>
    <w:div w:id="662204800">
      <w:bodyDiv w:val="1"/>
      <w:marLeft w:val="0"/>
      <w:marRight w:val="0"/>
      <w:marTop w:val="0"/>
      <w:marBottom w:val="0"/>
      <w:divBdr>
        <w:top w:val="none" w:sz="0" w:space="0" w:color="auto"/>
        <w:left w:val="none" w:sz="0" w:space="0" w:color="auto"/>
        <w:bottom w:val="none" w:sz="0" w:space="0" w:color="auto"/>
        <w:right w:val="none" w:sz="0" w:space="0" w:color="auto"/>
      </w:divBdr>
    </w:div>
    <w:div w:id="670452413">
      <w:bodyDiv w:val="1"/>
      <w:marLeft w:val="0"/>
      <w:marRight w:val="0"/>
      <w:marTop w:val="0"/>
      <w:marBottom w:val="0"/>
      <w:divBdr>
        <w:top w:val="none" w:sz="0" w:space="0" w:color="auto"/>
        <w:left w:val="none" w:sz="0" w:space="0" w:color="auto"/>
        <w:bottom w:val="none" w:sz="0" w:space="0" w:color="auto"/>
        <w:right w:val="none" w:sz="0" w:space="0" w:color="auto"/>
      </w:divBdr>
    </w:div>
    <w:div w:id="742802993">
      <w:bodyDiv w:val="1"/>
      <w:marLeft w:val="0"/>
      <w:marRight w:val="0"/>
      <w:marTop w:val="0"/>
      <w:marBottom w:val="0"/>
      <w:divBdr>
        <w:top w:val="none" w:sz="0" w:space="0" w:color="auto"/>
        <w:left w:val="none" w:sz="0" w:space="0" w:color="auto"/>
        <w:bottom w:val="none" w:sz="0" w:space="0" w:color="auto"/>
        <w:right w:val="none" w:sz="0" w:space="0" w:color="auto"/>
      </w:divBdr>
    </w:div>
    <w:div w:id="765272718">
      <w:bodyDiv w:val="1"/>
      <w:marLeft w:val="0"/>
      <w:marRight w:val="0"/>
      <w:marTop w:val="0"/>
      <w:marBottom w:val="0"/>
      <w:divBdr>
        <w:top w:val="none" w:sz="0" w:space="0" w:color="auto"/>
        <w:left w:val="none" w:sz="0" w:space="0" w:color="auto"/>
        <w:bottom w:val="none" w:sz="0" w:space="0" w:color="auto"/>
        <w:right w:val="none" w:sz="0" w:space="0" w:color="auto"/>
      </w:divBdr>
    </w:div>
    <w:div w:id="812716111">
      <w:bodyDiv w:val="1"/>
      <w:marLeft w:val="0"/>
      <w:marRight w:val="0"/>
      <w:marTop w:val="0"/>
      <w:marBottom w:val="0"/>
      <w:divBdr>
        <w:top w:val="none" w:sz="0" w:space="0" w:color="auto"/>
        <w:left w:val="none" w:sz="0" w:space="0" w:color="auto"/>
        <w:bottom w:val="none" w:sz="0" w:space="0" w:color="auto"/>
        <w:right w:val="none" w:sz="0" w:space="0" w:color="auto"/>
      </w:divBdr>
    </w:div>
    <w:div w:id="823005255">
      <w:bodyDiv w:val="1"/>
      <w:marLeft w:val="0"/>
      <w:marRight w:val="0"/>
      <w:marTop w:val="0"/>
      <w:marBottom w:val="0"/>
      <w:divBdr>
        <w:top w:val="none" w:sz="0" w:space="0" w:color="auto"/>
        <w:left w:val="none" w:sz="0" w:space="0" w:color="auto"/>
        <w:bottom w:val="none" w:sz="0" w:space="0" w:color="auto"/>
        <w:right w:val="none" w:sz="0" w:space="0" w:color="auto"/>
      </w:divBdr>
    </w:div>
    <w:div w:id="836112899">
      <w:bodyDiv w:val="1"/>
      <w:marLeft w:val="0"/>
      <w:marRight w:val="0"/>
      <w:marTop w:val="0"/>
      <w:marBottom w:val="0"/>
      <w:divBdr>
        <w:top w:val="none" w:sz="0" w:space="0" w:color="auto"/>
        <w:left w:val="none" w:sz="0" w:space="0" w:color="auto"/>
        <w:bottom w:val="none" w:sz="0" w:space="0" w:color="auto"/>
        <w:right w:val="none" w:sz="0" w:space="0" w:color="auto"/>
      </w:divBdr>
    </w:div>
    <w:div w:id="893387725">
      <w:bodyDiv w:val="1"/>
      <w:marLeft w:val="0"/>
      <w:marRight w:val="0"/>
      <w:marTop w:val="0"/>
      <w:marBottom w:val="0"/>
      <w:divBdr>
        <w:top w:val="none" w:sz="0" w:space="0" w:color="auto"/>
        <w:left w:val="none" w:sz="0" w:space="0" w:color="auto"/>
        <w:bottom w:val="none" w:sz="0" w:space="0" w:color="auto"/>
        <w:right w:val="none" w:sz="0" w:space="0" w:color="auto"/>
      </w:divBdr>
    </w:div>
    <w:div w:id="1001929852">
      <w:bodyDiv w:val="1"/>
      <w:marLeft w:val="0"/>
      <w:marRight w:val="0"/>
      <w:marTop w:val="0"/>
      <w:marBottom w:val="0"/>
      <w:divBdr>
        <w:top w:val="none" w:sz="0" w:space="0" w:color="auto"/>
        <w:left w:val="none" w:sz="0" w:space="0" w:color="auto"/>
        <w:bottom w:val="none" w:sz="0" w:space="0" w:color="auto"/>
        <w:right w:val="none" w:sz="0" w:space="0" w:color="auto"/>
      </w:divBdr>
    </w:div>
    <w:div w:id="1011562949">
      <w:bodyDiv w:val="1"/>
      <w:marLeft w:val="0"/>
      <w:marRight w:val="0"/>
      <w:marTop w:val="0"/>
      <w:marBottom w:val="0"/>
      <w:divBdr>
        <w:top w:val="none" w:sz="0" w:space="0" w:color="auto"/>
        <w:left w:val="none" w:sz="0" w:space="0" w:color="auto"/>
        <w:bottom w:val="none" w:sz="0" w:space="0" w:color="auto"/>
        <w:right w:val="none" w:sz="0" w:space="0" w:color="auto"/>
      </w:divBdr>
    </w:div>
    <w:div w:id="1023284014">
      <w:bodyDiv w:val="1"/>
      <w:marLeft w:val="0"/>
      <w:marRight w:val="0"/>
      <w:marTop w:val="0"/>
      <w:marBottom w:val="0"/>
      <w:divBdr>
        <w:top w:val="none" w:sz="0" w:space="0" w:color="auto"/>
        <w:left w:val="none" w:sz="0" w:space="0" w:color="auto"/>
        <w:bottom w:val="none" w:sz="0" w:space="0" w:color="auto"/>
        <w:right w:val="none" w:sz="0" w:space="0" w:color="auto"/>
      </w:divBdr>
    </w:div>
    <w:div w:id="1033965920">
      <w:bodyDiv w:val="1"/>
      <w:marLeft w:val="0"/>
      <w:marRight w:val="0"/>
      <w:marTop w:val="0"/>
      <w:marBottom w:val="0"/>
      <w:divBdr>
        <w:top w:val="none" w:sz="0" w:space="0" w:color="auto"/>
        <w:left w:val="none" w:sz="0" w:space="0" w:color="auto"/>
        <w:bottom w:val="none" w:sz="0" w:space="0" w:color="auto"/>
        <w:right w:val="none" w:sz="0" w:space="0" w:color="auto"/>
      </w:divBdr>
    </w:div>
    <w:div w:id="1095830846">
      <w:bodyDiv w:val="1"/>
      <w:marLeft w:val="0"/>
      <w:marRight w:val="0"/>
      <w:marTop w:val="0"/>
      <w:marBottom w:val="0"/>
      <w:divBdr>
        <w:top w:val="none" w:sz="0" w:space="0" w:color="auto"/>
        <w:left w:val="none" w:sz="0" w:space="0" w:color="auto"/>
        <w:bottom w:val="none" w:sz="0" w:space="0" w:color="auto"/>
        <w:right w:val="none" w:sz="0" w:space="0" w:color="auto"/>
      </w:divBdr>
    </w:div>
    <w:div w:id="1154685408">
      <w:bodyDiv w:val="1"/>
      <w:marLeft w:val="0"/>
      <w:marRight w:val="0"/>
      <w:marTop w:val="0"/>
      <w:marBottom w:val="0"/>
      <w:divBdr>
        <w:top w:val="none" w:sz="0" w:space="0" w:color="auto"/>
        <w:left w:val="none" w:sz="0" w:space="0" w:color="auto"/>
        <w:bottom w:val="none" w:sz="0" w:space="0" w:color="auto"/>
        <w:right w:val="none" w:sz="0" w:space="0" w:color="auto"/>
      </w:divBdr>
    </w:div>
    <w:div w:id="1156528270">
      <w:bodyDiv w:val="1"/>
      <w:marLeft w:val="0"/>
      <w:marRight w:val="0"/>
      <w:marTop w:val="0"/>
      <w:marBottom w:val="0"/>
      <w:divBdr>
        <w:top w:val="none" w:sz="0" w:space="0" w:color="auto"/>
        <w:left w:val="none" w:sz="0" w:space="0" w:color="auto"/>
        <w:bottom w:val="none" w:sz="0" w:space="0" w:color="auto"/>
        <w:right w:val="none" w:sz="0" w:space="0" w:color="auto"/>
      </w:divBdr>
    </w:div>
    <w:div w:id="1228034753">
      <w:bodyDiv w:val="1"/>
      <w:marLeft w:val="0"/>
      <w:marRight w:val="0"/>
      <w:marTop w:val="0"/>
      <w:marBottom w:val="0"/>
      <w:divBdr>
        <w:top w:val="none" w:sz="0" w:space="0" w:color="auto"/>
        <w:left w:val="none" w:sz="0" w:space="0" w:color="auto"/>
        <w:bottom w:val="none" w:sz="0" w:space="0" w:color="auto"/>
        <w:right w:val="none" w:sz="0" w:space="0" w:color="auto"/>
      </w:divBdr>
    </w:div>
    <w:div w:id="1244605728">
      <w:bodyDiv w:val="1"/>
      <w:marLeft w:val="0"/>
      <w:marRight w:val="0"/>
      <w:marTop w:val="0"/>
      <w:marBottom w:val="0"/>
      <w:divBdr>
        <w:top w:val="none" w:sz="0" w:space="0" w:color="auto"/>
        <w:left w:val="none" w:sz="0" w:space="0" w:color="auto"/>
        <w:bottom w:val="none" w:sz="0" w:space="0" w:color="auto"/>
        <w:right w:val="none" w:sz="0" w:space="0" w:color="auto"/>
      </w:divBdr>
    </w:div>
    <w:div w:id="1327320405">
      <w:bodyDiv w:val="1"/>
      <w:marLeft w:val="0"/>
      <w:marRight w:val="0"/>
      <w:marTop w:val="0"/>
      <w:marBottom w:val="0"/>
      <w:divBdr>
        <w:top w:val="none" w:sz="0" w:space="0" w:color="auto"/>
        <w:left w:val="none" w:sz="0" w:space="0" w:color="auto"/>
        <w:bottom w:val="none" w:sz="0" w:space="0" w:color="auto"/>
        <w:right w:val="none" w:sz="0" w:space="0" w:color="auto"/>
      </w:divBdr>
    </w:div>
    <w:div w:id="1330864603">
      <w:bodyDiv w:val="1"/>
      <w:marLeft w:val="0"/>
      <w:marRight w:val="0"/>
      <w:marTop w:val="0"/>
      <w:marBottom w:val="0"/>
      <w:divBdr>
        <w:top w:val="none" w:sz="0" w:space="0" w:color="auto"/>
        <w:left w:val="none" w:sz="0" w:space="0" w:color="auto"/>
        <w:bottom w:val="none" w:sz="0" w:space="0" w:color="auto"/>
        <w:right w:val="none" w:sz="0" w:space="0" w:color="auto"/>
      </w:divBdr>
    </w:div>
    <w:div w:id="1357973140">
      <w:bodyDiv w:val="1"/>
      <w:marLeft w:val="0"/>
      <w:marRight w:val="0"/>
      <w:marTop w:val="0"/>
      <w:marBottom w:val="0"/>
      <w:divBdr>
        <w:top w:val="none" w:sz="0" w:space="0" w:color="auto"/>
        <w:left w:val="none" w:sz="0" w:space="0" w:color="auto"/>
        <w:bottom w:val="none" w:sz="0" w:space="0" w:color="auto"/>
        <w:right w:val="none" w:sz="0" w:space="0" w:color="auto"/>
      </w:divBdr>
      <w:divsChild>
        <w:div w:id="1457483852">
          <w:marLeft w:val="0"/>
          <w:marRight w:val="0"/>
          <w:marTop w:val="30"/>
          <w:marBottom w:val="0"/>
          <w:divBdr>
            <w:top w:val="none" w:sz="0" w:space="0" w:color="auto"/>
            <w:left w:val="none" w:sz="0" w:space="0" w:color="auto"/>
            <w:bottom w:val="none" w:sz="0" w:space="0" w:color="auto"/>
            <w:right w:val="none" w:sz="0" w:space="0" w:color="auto"/>
          </w:divBdr>
        </w:div>
      </w:divsChild>
    </w:div>
    <w:div w:id="1409184498">
      <w:bodyDiv w:val="1"/>
      <w:marLeft w:val="0"/>
      <w:marRight w:val="0"/>
      <w:marTop w:val="0"/>
      <w:marBottom w:val="0"/>
      <w:divBdr>
        <w:top w:val="none" w:sz="0" w:space="0" w:color="auto"/>
        <w:left w:val="none" w:sz="0" w:space="0" w:color="auto"/>
        <w:bottom w:val="none" w:sz="0" w:space="0" w:color="auto"/>
        <w:right w:val="none" w:sz="0" w:space="0" w:color="auto"/>
      </w:divBdr>
    </w:div>
    <w:div w:id="1525483796">
      <w:bodyDiv w:val="1"/>
      <w:marLeft w:val="0"/>
      <w:marRight w:val="0"/>
      <w:marTop w:val="0"/>
      <w:marBottom w:val="0"/>
      <w:divBdr>
        <w:top w:val="none" w:sz="0" w:space="0" w:color="auto"/>
        <w:left w:val="none" w:sz="0" w:space="0" w:color="auto"/>
        <w:bottom w:val="none" w:sz="0" w:space="0" w:color="auto"/>
        <w:right w:val="none" w:sz="0" w:space="0" w:color="auto"/>
      </w:divBdr>
    </w:div>
    <w:div w:id="1552694303">
      <w:bodyDiv w:val="1"/>
      <w:marLeft w:val="0"/>
      <w:marRight w:val="0"/>
      <w:marTop w:val="0"/>
      <w:marBottom w:val="0"/>
      <w:divBdr>
        <w:top w:val="none" w:sz="0" w:space="0" w:color="auto"/>
        <w:left w:val="none" w:sz="0" w:space="0" w:color="auto"/>
        <w:bottom w:val="none" w:sz="0" w:space="0" w:color="auto"/>
        <w:right w:val="none" w:sz="0" w:space="0" w:color="auto"/>
      </w:divBdr>
    </w:div>
    <w:div w:id="1572957657">
      <w:bodyDiv w:val="1"/>
      <w:marLeft w:val="0"/>
      <w:marRight w:val="0"/>
      <w:marTop w:val="0"/>
      <w:marBottom w:val="0"/>
      <w:divBdr>
        <w:top w:val="none" w:sz="0" w:space="0" w:color="auto"/>
        <w:left w:val="none" w:sz="0" w:space="0" w:color="auto"/>
        <w:bottom w:val="none" w:sz="0" w:space="0" w:color="auto"/>
        <w:right w:val="none" w:sz="0" w:space="0" w:color="auto"/>
      </w:divBdr>
    </w:div>
    <w:div w:id="1619525680">
      <w:bodyDiv w:val="1"/>
      <w:marLeft w:val="0"/>
      <w:marRight w:val="0"/>
      <w:marTop w:val="0"/>
      <w:marBottom w:val="0"/>
      <w:divBdr>
        <w:top w:val="none" w:sz="0" w:space="0" w:color="auto"/>
        <w:left w:val="none" w:sz="0" w:space="0" w:color="auto"/>
        <w:bottom w:val="none" w:sz="0" w:space="0" w:color="auto"/>
        <w:right w:val="none" w:sz="0" w:space="0" w:color="auto"/>
      </w:divBdr>
    </w:div>
    <w:div w:id="1636174736">
      <w:bodyDiv w:val="1"/>
      <w:marLeft w:val="0"/>
      <w:marRight w:val="0"/>
      <w:marTop w:val="0"/>
      <w:marBottom w:val="0"/>
      <w:divBdr>
        <w:top w:val="none" w:sz="0" w:space="0" w:color="auto"/>
        <w:left w:val="none" w:sz="0" w:space="0" w:color="auto"/>
        <w:bottom w:val="none" w:sz="0" w:space="0" w:color="auto"/>
        <w:right w:val="none" w:sz="0" w:space="0" w:color="auto"/>
      </w:divBdr>
    </w:div>
    <w:div w:id="1697805579">
      <w:bodyDiv w:val="1"/>
      <w:marLeft w:val="0"/>
      <w:marRight w:val="0"/>
      <w:marTop w:val="0"/>
      <w:marBottom w:val="0"/>
      <w:divBdr>
        <w:top w:val="none" w:sz="0" w:space="0" w:color="auto"/>
        <w:left w:val="none" w:sz="0" w:space="0" w:color="auto"/>
        <w:bottom w:val="none" w:sz="0" w:space="0" w:color="auto"/>
        <w:right w:val="none" w:sz="0" w:space="0" w:color="auto"/>
      </w:divBdr>
    </w:div>
    <w:div w:id="1727676906">
      <w:bodyDiv w:val="1"/>
      <w:marLeft w:val="0"/>
      <w:marRight w:val="0"/>
      <w:marTop w:val="0"/>
      <w:marBottom w:val="0"/>
      <w:divBdr>
        <w:top w:val="none" w:sz="0" w:space="0" w:color="auto"/>
        <w:left w:val="none" w:sz="0" w:space="0" w:color="auto"/>
        <w:bottom w:val="none" w:sz="0" w:space="0" w:color="auto"/>
        <w:right w:val="none" w:sz="0" w:space="0" w:color="auto"/>
      </w:divBdr>
    </w:div>
    <w:div w:id="1733577343">
      <w:bodyDiv w:val="1"/>
      <w:marLeft w:val="0"/>
      <w:marRight w:val="0"/>
      <w:marTop w:val="0"/>
      <w:marBottom w:val="0"/>
      <w:divBdr>
        <w:top w:val="none" w:sz="0" w:space="0" w:color="auto"/>
        <w:left w:val="none" w:sz="0" w:space="0" w:color="auto"/>
        <w:bottom w:val="none" w:sz="0" w:space="0" w:color="auto"/>
        <w:right w:val="none" w:sz="0" w:space="0" w:color="auto"/>
      </w:divBdr>
    </w:div>
    <w:div w:id="1777140064">
      <w:bodyDiv w:val="1"/>
      <w:marLeft w:val="0"/>
      <w:marRight w:val="0"/>
      <w:marTop w:val="0"/>
      <w:marBottom w:val="0"/>
      <w:divBdr>
        <w:top w:val="none" w:sz="0" w:space="0" w:color="auto"/>
        <w:left w:val="none" w:sz="0" w:space="0" w:color="auto"/>
        <w:bottom w:val="none" w:sz="0" w:space="0" w:color="auto"/>
        <w:right w:val="none" w:sz="0" w:space="0" w:color="auto"/>
      </w:divBdr>
    </w:div>
    <w:div w:id="208918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microsoft.com/office/2007/relationships/hdphoto" Target="media/hdphoto1.wdp"/><Relationship Id="rId1" Type="http://schemas.openxmlformats.org/officeDocument/2006/relationships/image" Target="media/image1.png"/><Relationship Id="rId5" Type="http://schemas.microsoft.com/office/2007/relationships/hdphoto" Target="media/hdphoto2.wdp"/><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BAD06-4290-4744-B94D-8BA4CEF86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4165</Words>
  <Characters>23746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Mellor</dc:creator>
  <cp:keywords/>
  <dc:description/>
  <cp:lastModifiedBy>Michelle Kynaston</cp:lastModifiedBy>
  <cp:revision>8</cp:revision>
  <cp:lastPrinted>2021-06-20T21:56:00Z</cp:lastPrinted>
  <dcterms:created xsi:type="dcterms:W3CDTF">2021-06-30T03:32:00Z</dcterms:created>
  <dcterms:modified xsi:type="dcterms:W3CDTF">2021-06-30T03:51:00Z</dcterms:modified>
</cp:coreProperties>
</file>