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1F0351" w14:textId="77777777" w:rsidR="00854696" w:rsidRPr="00854696" w:rsidRDefault="00854696" w:rsidP="008F03DF">
      <w:pPr>
        <w:pStyle w:val="Heading1"/>
        <w:spacing w:before="120" w:after="120" w:line="240" w:lineRule="atLeast"/>
        <w:rPr>
          <w:rFonts w:ascii="Calibri Light" w:hAnsi="Calibri Light" w:cs="Calibri Light"/>
          <w:sz w:val="56"/>
          <w:szCs w:val="56"/>
        </w:rPr>
      </w:pPr>
      <w:r w:rsidRPr="00854696">
        <w:rPr>
          <w:rFonts w:ascii="Calibri Light" w:hAnsi="Calibri Light" w:cs="Calibri Light"/>
          <w:sz w:val="56"/>
          <w:szCs w:val="56"/>
        </w:rPr>
        <w:t>Evidence Brief</w:t>
      </w:r>
    </w:p>
    <w:p w14:paraId="3ACF17DD" w14:textId="77777777" w:rsidR="00854696" w:rsidRPr="00854696" w:rsidRDefault="00854696" w:rsidP="008F03DF">
      <w:pPr>
        <w:pStyle w:val="Heading1"/>
        <w:spacing w:before="120" w:after="120" w:line="240" w:lineRule="atLeast"/>
        <w:rPr>
          <w:rFonts w:ascii="Calibri Light" w:hAnsi="Calibri Light"/>
          <w:b w:val="0"/>
          <w:bCs w:val="0"/>
          <w:spacing w:val="-10"/>
          <w:kern w:val="28"/>
          <w:sz w:val="56"/>
          <w:szCs w:val="56"/>
          <w:lang w:val="en-AU"/>
        </w:rPr>
      </w:pPr>
      <w:r w:rsidRPr="00AD4F49">
        <w:rPr>
          <w:rFonts w:ascii="Calibri Light" w:hAnsi="Calibri Light"/>
          <w:b w:val="0"/>
          <w:bCs w:val="0"/>
          <w:spacing w:val="-10"/>
          <w:kern w:val="28"/>
          <w:sz w:val="56"/>
          <w:szCs w:val="56"/>
          <w:lang w:val="en-AU"/>
        </w:rPr>
        <w:t xml:space="preserve">Consultation to develop a Long-Term Insights Briefing: </w:t>
      </w:r>
      <w:r w:rsidRPr="00854696">
        <w:rPr>
          <w:rFonts w:ascii="Calibri Light" w:hAnsi="Calibri Light"/>
          <w:b w:val="0"/>
          <w:bCs w:val="0"/>
          <w:spacing w:val="-10"/>
          <w:kern w:val="28"/>
          <w:sz w:val="56"/>
          <w:szCs w:val="56"/>
          <w:lang w:val="en-AU"/>
        </w:rPr>
        <w:t>Youth at risk of limited employment</w:t>
      </w:r>
    </w:p>
    <w:p w14:paraId="35D3402B" w14:textId="77777777" w:rsidR="00AF6E4F" w:rsidRPr="00854696" w:rsidRDefault="00AF6E4F" w:rsidP="008F03DF">
      <w:pPr>
        <w:pStyle w:val="Heading2"/>
        <w:spacing w:before="120" w:after="120" w:line="240" w:lineRule="atLeast"/>
        <w:rPr>
          <w:rFonts w:ascii="Calibri Light" w:hAnsi="Calibri Light" w:cs="Calibri Light"/>
          <w:color w:val="365F91" w:themeColor="accent1" w:themeShade="BF"/>
        </w:rPr>
      </w:pPr>
      <w:r w:rsidRPr="00854696">
        <w:rPr>
          <w:rFonts w:ascii="Calibri Light" w:hAnsi="Calibri Light" w:cs="Calibri Light"/>
          <w:color w:val="365F91" w:themeColor="accent1" w:themeShade="BF"/>
        </w:rPr>
        <w:t>About this Document</w:t>
      </w:r>
    </w:p>
    <w:p w14:paraId="04518505" w14:textId="5D557A23" w:rsidR="007E6E37" w:rsidRPr="00963997" w:rsidRDefault="007E6E37" w:rsidP="008F03DF">
      <w:pPr>
        <w:pStyle w:val="ListParagraph"/>
        <w:numPr>
          <w:ilvl w:val="0"/>
          <w:numId w:val="39"/>
        </w:numPr>
        <w:spacing w:before="120" w:after="120" w:line="240" w:lineRule="atLeast"/>
        <w:ind w:left="567" w:hanging="567"/>
        <w:contextualSpacing w:val="0"/>
        <w:rPr>
          <w:rFonts w:ascii="Arial" w:hAnsi="Arial" w:cs="Arial"/>
          <w:sz w:val="24"/>
          <w:szCs w:val="24"/>
        </w:rPr>
      </w:pPr>
      <w:r w:rsidRPr="00963997">
        <w:rPr>
          <w:rFonts w:ascii="Arial" w:hAnsi="Arial" w:cs="Arial"/>
          <w:sz w:val="24"/>
          <w:szCs w:val="24"/>
        </w:rPr>
        <w:t>The Ministry of Social Development, Ministry of Business, Innovation and Employment and Ministry of Education are developing a Long-Term Insights Briefing on youth at risk of limited employment.</w:t>
      </w:r>
    </w:p>
    <w:p w14:paraId="4668CAA9" w14:textId="5FB386F6" w:rsidR="007E6E37" w:rsidRPr="00963997" w:rsidRDefault="007E6E37" w:rsidP="008F03DF">
      <w:pPr>
        <w:pStyle w:val="ListParagraph"/>
        <w:numPr>
          <w:ilvl w:val="0"/>
          <w:numId w:val="39"/>
        </w:numPr>
        <w:spacing w:before="120" w:after="120" w:line="240" w:lineRule="atLeast"/>
        <w:ind w:left="567" w:hanging="567"/>
        <w:contextualSpacing w:val="0"/>
        <w:rPr>
          <w:rFonts w:ascii="Arial" w:hAnsi="Arial" w:cs="Arial"/>
          <w:sz w:val="24"/>
          <w:szCs w:val="24"/>
        </w:rPr>
      </w:pPr>
      <w:r w:rsidRPr="00963997">
        <w:rPr>
          <w:rFonts w:ascii="Arial" w:hAnsi="Arial" w:cs="Arial"/>
          <w:sz w:val="24"/>
          <w:szCs w:val="24"/>
        </w:rPr>
        <w:t xml:space="preserve">Long-Term Insights Briefings are public documents with information, </w:t>
      </w:r>
      <w:r w:rsidR="00FE398C" w:rsidRPr="00963997">
        <w:rPr>
          <w:rFonts w:ascii="Arial" w:hAnsi="Arial" w:cs="Arial"/>
          <w:sz w:val="24"/>
          <w:szCs w:val="24"/>
        </w:rPr>
        <w:t>analysis,</w:t>
      </w:r>
      <w:r w:rsidRPr="00963997">
        <w:rPr>
          <w:rFonts w:ascii="Arial" w:hAnsi="Arial" w:cs="Arial"/>
          <w:sz w:val="24"/>
          <w:szCs w:val="24"/>
        </w:rPr>
        <w:t xml:space="preserve"> and a range of policy options on important topics, trends, </w:t>
      </w:r>
      <w:proofErr w:type="gramStart"/>
      <w:r w:rsidRPr="00963997">
        <w:rPr>
          <w:rFonts w:ascii="Arial" w:hAnsi="Arial" w:cs="Arial"/>
          <w:sz w:val="24"/>
          <w:szCs w:val="24"/>
        </w:rPr>
        <w:t>risks</w:t>
      </w:r>
      <w:proofErr w:type="gramEnd"/>
      <w:r w:rsidRPr="00963997">
        <w:rPr>
          <w:rFonts w:ascii="Arial" w:hAnsi="Arial" w:cs="Arial"/>
          <w:sz w:val="24"/>
          <w:szCs w:val="24"/>
        </w:rPr>
        <w:t xml:space="preserve"> and opportunities that affect New Zealand. </w:t>
      </w:r>
    </w:p>
    <w:p w14:paraId="3D3397ED" w14:textId="77777777" w:rsidR="007E6E37" w:rsidRPr="00854696" w:rsidRDefault="007E6E37" w:rsidP="008F03DF">
      <w:pPr>
        <w:pStyle w:val="ListParagraph"/>
        <w:numPr>
          <w:ilvl w:val="0"/>
          <w:numId w:val="39"/>
        </w:numPr>
        <w:spacing w:before="120" w:after="120" w:line="240" w:lineRule="atLeast"/>
        <w:ind w:left="567" w:hanging="567"/>
        <w:contextualSpacing w:val="0"/>
        <w:rPr>
          <w:rFonts w:ascii="Arial" w:hAnsi="Arial" w:cs="Arial"/>
          <w:sz w:val="24"/>
          <w:szCs w:val="24"/>
        </w:rPr>
      </w:pPr>
      <w:r w:rsidRPr="00FD362D">
        <w:rPr>
          <w:rFonts w:ascii="Arial" w:hAnsi="Arial" w:cs="Arial"/>
          <w:sz w:val="24"/>
          <w:szCs w:val="24"/>
        </w:rPr>
        <w:t xml:space="preserve">The final Briefing will be available to the public </w:t>
      </w:r>
      <w:r w:rsidR="00854696">
        <w:rPr>
          <w:rFonts w:ascii="Arial" w:hAnsi="Arial" w:cs="Arial"/>
          <w:sz w:val="24"/>
          <w:szCs w:val="24"/>
        </w:rPr>
        <w:t xml:space="preserve">and </w:t>
      </w:r>
      <w:r w:rsidR="00854696" w:rsidRPr="00854696">
        <w:rPr>
          <w:rFonts w:ascii="Arial" w:hAnsi="Arial" w:cs="Arial"/>
          <w:sz w:val="24"/>
          <w:szCs w:val="24"/>
        </w:rPr>
        <w:t xml:space="preserve">will be a resource with information, </w:t>
      </w:r>
      <w:proofErr w:type="gramStart"/>
      <w:r w:rsidR="00854696" w:rsidRPr="00854696">
        <w:rPr>
          <w:rFonts w:ascii="Arial" w:hAnsi="Arial" w:cs="Arial"/>
          <w:sz w:val="24"/>
          <w:szCs w:val="24"/>
        </w:rPr>
        <w:t>analysis</w:t>
      </w:r>
      <w:proofErr w:type="gramEnd"/>
      <w:r w:rsidR="00854696" w:rsidRPr="00854696">
        <w:rPr>
          <w:rFonts w:ascii="Arial" w:hAnsi="Arial" w:cs="Arial"/>
          <w:sz w:val="24"/>
          <w:szCs w:val="24"/>
        </w:rPr>
        <w:t xml:space="preserve"> and policy options to help government and communities </w:t>
      </w:r>
      <w:r w:rsidR="00DA26F0">
        <w:rPr>
          <w:rFonts w:ascii="Arial" w:hAnsi="Arial" w:cs="Arial"/>
          <w:sz w:val="24"/>
          <w:szCs w:val="24"/>
        </w:rPr>
        <w:t>support</w:t>
      </w:r>
      <w:r w:rsidR="00DA26F0" w:rsidRPr="00854696">
        <w:rPr>
          <w:rFonts w:ascii="Arial" w:hAnsi="Arial" w:cs="Arial"/>
          <w:sz w:val="24"/>
          <w:szCs w:val="24"/>
        </w:rPr>
        <w:t xml:space="preserve"> </w:t>
      </w:r>
      <w:r w:rsidR="00854696" w:rsidRPr="00854696">
        <w:rPr>
          <w:rFonts w:ascii="Arial" w:hAnsi="Arial" w:cs="Arial"/>
          <w:sz w:val="24"/>
          <w:szCs w:val="24"/>
        </w:rPr>
        <w:t>youth at risk of limited employment</w:t>
      </w:r>
      <w:r w:rsidR="00DA26F0" w:rsidRPr="00DA26F0">
        <w:rPr>
          <w:rFonts w:ascii="Arial" w:hAnsi="Arial" w:cs="Arial"/>
          <w:sz w:val="24"/>
          <w:szCs w:val="24"/>
        </w:rPr>
        <w:t xml:space="preserve"> </w:t>
      </w:r>
      <w:r w:rsidR="00DA26F0" w:rsidRPr="00854696">
        <w:rPr>
          <w:rFonts w:ascii="Arial" w:hAnsi="Arial" w:cs="Arial"/>
          <w:sz w:val="24"/>
          <w:szCs w:val="24"/>
        </w:rPr>
        <w:t>more effectively</w:t>
      </w:r>
      <w:r w:rsidR="00854696" w:rsidRPr="00854696">
        <w:rPr>
          <w:rFonts w:ascii="Arial" w:hAnsi="Arial" w:cs="Arial"/>
          <w:sz w:val="24"/>
          <w:szCs w:val="24"/>
        </w:rPr>
        <w:t>.</w:t>
      </w:r>
    </w:p>
    <w:p w14:paraId="7F583377" w14:textId="77777777" w:rsidR="00AF6E4F" w:rsidRDefault="00AF6E4F" w:rsidP="008F03DF">
      <w:pPr>
        <w:pStyle w:val="ListParagraph"/>
        <w:numPr>
          <w:ilvl w:val="0"/>
          <w:numId w:val="39"/>
        </w:numPr>
        <w:spacing w:before="120" w:after="120" w:line="240" w:lineRule="atLeast"/>
        <w:ind w:left="567" w:hanging="567"/>
        <w:contextualSpacing w:val="0"/>
        <w:rPr>
          <w:rFonts w:ascii="Arial" w:hAnsi="Arial" w:cs="Arial"/>
          <w:sz w:val="24"/>
          <w:szCs w:val="24"/>
        </w:rPr>
      </w:pPr>
      <w:r w:rsidRPr="00AF6E4F">
        <w:rPr>
          <w:rFonts w:ascii="Arial" w:hAnsi="Arial" w:cs="Arial"/>
          <w:sz w:val="24"/>
          <w:szCs w:val="24"/>
        </w:rPr>
        <w:t>This document pr</w:t>
      </w:r>
      <w:r w:rsidR="00F11433">
        <w:rPr>
          <w:rFonts w:ascii="Arial" w:hAnsi="Arial" w:cs="Arial"/>
          <w:sz w:val="24"/>
          <w:szCs w:val="24"/>
        </w:rPr>
        <w:t xml:space="preserve">ovides </w:t>
      </w:r>
      <w:r w:rsidR="00283C40">
        <w:rPr>
          <w:rFonts w:ascii="Arial" w:hAnsi="Arial" w:cs="Arial"/>
          <w:sz w:val="24"/>
          <w:szCs w:val="24"/>
        </w:rPr>
        <w:t>further detail</w:t>
      </w:r>
      <w:r w:rsidR="00F11433">
        <w:rPr>
          <w:rFonts w:ascii="Arial" w:hAnsi="Arial" w:cs="Arial"/>
          <w:sz w:val="24"/>
          <w:szCs w:val="24"/>
        </w:rPr>
        <w:t xml:space="preserve"> on </w:t>
      </w:r>
      <w:r w:rsidR="009D14F4">
        <w:rPr>
          <w:rFonts w:ascii="Arial" w:hAnsi="Arial" w:cs="Arial"/>
          <w:sz w:val="24"/>
          <w:szCs w:val="24"/>
        </w:rPr>
        <w:t xml:space="preserve">what we currently know about the experiences of </w:t>
      </w:r>
      <w:r w:rsidR="00283C40">
        <w:rPr>
          <w:rFonts w:ascii="Arial" w:hAnsi="Arial" w:cs="Arial"/>
          <w:sz w:val="24"/>
          <w:szCs w:val="24"/>
        </w:rPr>
        <w:t xml:space="preserve">young people, </w:t>
      </w:r>
      <w:r w:rsidRPr="00AF6E4F">
        <w:rPr>
          <w:rFonts w:ascii="Arial" w:hAnsi="Arial" w:cs="Arial"/>
          <w:sz w:val="24"/>
          <w:szCs w:val="24"/>
        </w:rPr>
        <w:t>covering broad trends</w:t>
      </w:r>
      <w:r w:rsidR="00DA26F0">
        <w:rPr>
          <w:rFonts w:ascii="Arial" w:hAnsi="Arial" w:cs="Arial"/>
          <w:sz w:val="24"/>
          <w:szCs w:val="24"/>
        </w:rPr>
        <w:t xml:space="preserve"> in</w:t>
      </w:r>
      <w:r w:rsidRPr="00AF6E4F">
        <w:rPr>
          <w:rFonts w:ascii="Arial" w:hAnsi="Arial" w:cs="Arial"/>
          <w:sz w:val="24"/>
          <w:szCs w:val="24"/>
        </w:rPr>
        <w:t xml:space="preserve"> the labour market, </w:t>
      </w:r>
      <w:r w:rsidR="00DA26F0">
        <w:rPr>
          <w:rFonts w:ascii="Arial" w:hAnsi="Arial" w:cs="Arial"/>
          <w:sz w:val="24"/>
          <w:szCs w:val="24"/>
        </w:rPr>
        <w:t xml:space="preserve">and the </w:t>
      </w:r>
      <w:r w:rsidRPr="00AF6E4F">
        <w:rPr>
          <w:rFonts w:ascii="Arial" w:hAnsi="Arial" w:cs="Arial"/>
          <w:sz w:val="24"/>
          <w:szCs w:val="24"/>
        </w:rPr>
        <w:t xml:space="preserve">social welfare and education </w:t>
      </w:r>
      <w:r w:rsidR="00DA26F0">
        <w:rPr>
          <w:rFonts w:ascii="Arial" w:hAnsi="Arial" w:cs="Arial"/>
          <w:sz w:val="24"/>
          <w:szCs w:val="24"/>
        </w:rPr>
        <w:t>systems</w:t>
      </w:r>
      <w:r w:rsidRPr="00AF6E4F">
        <w:rPr>
          <w:rFonts w:ascii="Arial" w:hAnsi="Arial" w:cs="Arial"/>
          <w:sz w:val="24"/>
          <w:szCs w:val="24"/>
        </w:rPr>
        <w:t>.</w:t>
      </w:r>
    </w:p>
    <w:p w14:paraId="75BB4A4C" w14:textId="77777777" w:rsidR="007E6E37" w:rsidRPr="00F5235E" w:rsidRDefault="007E6E37" w:rsidP="008F03DF">
      <w:pPr>
        <w:pStyle w:val="ListParagraph"/>
        <w:numPr>
          <w:ilvl w:val="0"/>
          <w:numId w:val="39"/>
        </w:numPr>
        <w:spacing w:before="120" w:after="120" w:line="240" w:lineRule="atLeast"/>
        <w:ind w:left="567" w:hanging="567"/>
        <w:contextualSpacing w:val="0"/>
        <w:rPr>
          <w:rFonts w:ascii="Arial" w:hAnsi="Arial" w:cs="Arial"/>
          <w:sz w:val="24"/>
          <w:szCs w:val="24"/>
        </w:rPr>
      </w:pPr>
      <w:r w:rsidRPr="00F5235E">
        <w:rPr>
          <w:rFonts w:ascii="Arial" w:hAnsi="Arial" w:cs="Arial"/>
          <w:sz w:val="24"/>
          <w:szCs w:val="24"/>
        </w:rPr>
        <w:t>Youth at risk of limited employment are a group of 16 to 24-year olds who cycle between low-paid short-term jobs, unemployment and/or low</w:t>
      </w:r>
      <w:r w:rsidR="004E28DA">
        <w:rPr>
          <w:rFonts w:ascii="Arial" w:hAnsi="Arial" w:cs="Arial"/>
          <w:sz w:val="24"/>
          <w:szCs w:val="24"/>
        </w:rPr>
        <w:t>er</w:t>
      </w:r>
      <w:r w:rsidRPr="00F5235E">
        <w:rPr>
          <w:rFonts w:ascii="Arial" w:hAnsi="Arial" w:cs="Arial"/>
          <w:sz w:val="24"/>
          <w:szCs w:val="24"/>
        </w:rPr>
        <w:t>-level tertiary education.</w:t>
      </w:r>
    </w:p>
    <w:p w14:paraId="2D1E3F5F" w14:textId="77777777" w:rsidR="007E6E37" w:rsidRPr="00963997" w:rsidRDefault="007E6E37" w:rsidP="008F03DF">
      <w:pPr>
        <w:pStyle w:val="ListParagraph"/>
        <w:numPr>
          <w:ilvl w:val="0"/>
          <w:numId w:val="39"/>
        </w:numPr>
        <w:spacing w:before="120" w:after="120" w:line="240" w:lineRule="atLeast"/>
        <w:ind w:left="567" w:hanging="567"/>
        <w:contextualSpacing w:val="0"/>
        <w:rPr>
          <w:rFonts w:ascii="Arial" w:hAnsi="Arial" w:cs="Arial"/>
          <w:sz w:val="24"/>
          <w:szCs w:val="24"/>
        </w:rPr>
      </w:pPr>
      <w:r w:rsidRPr="00963997">
        <w:rPr>
          <w:rFonts w:ascii="Arial" w:hAnsi="Arial" w:cs="Arial"/>
          <w:sz w:val="24"/>
          <w:szCs w:val="24"/>
        </w:rPr>
        <w:t xml:space="preserve">They lack access and opportunity through barriers they have no control over, </w:t>
      </w:r>
      <w:r w:rsidR="00DA26F0">
        <w:rPr>
          <w:rFonts w:ascii="Arial" w:hAnsi="Arial" w:cs="Arial"/>
          <w:sz w:val="24"/>
          <w:szCs w:val="24"/>
        </w:rPr>
        <w:t xml:space="preserve">rather </w:t>
      </w:r>
      <w:r w:rsidR="004E28DA">
        <w:rPr>
          <w:rFonts w:ascii="Arial" w:hAnsi="Arial" w:cs="Arial"/>
          <w:sz w:val="24"/>
          <w:szCs w:val="24"/>
        </w:rPr>
        <w:t>than</w:t>
      </w:r>
      <w:r w:rsidRPr="00963997">
        <w:rPr>
          <w:rFonts w:ascii="Arial" w:hAnsi="Arial" w:cs="Arial"/>
          <w:sz w:val="24"/>
          <w:szCs w:val="24"/>
        </w:rPr>
        <w:t xml:space="preserve"> lack of ability or potential. </w:t>
      </w:r>
    </w:p>
    <w:p w14:paraId="7C71D96E" w14:textId="77777777" w:rsidR="007E6E37" w:rsidRPr="00611629" w:rsidRDefault="007E6E37" w:rsidP="008F03DF">
      <w:pPr>
        <w:pStyle w:val="ListParagraph"/>
        <w:numPr>
          <w:ilvl w:val="0"/>
          <w:numId w:val="39"/>
        </w:numPr>
        <w:spacing w:before="120" w:after="120" w:line="240" w:lineRule="atLeast"/>
        <w:ind w:left="567" w:hanging="567"/>
        <w:contextualSpacing w:val="0"/>
        <w:rPr>
          <w:rFonts w:ascii="Arial" w:hAnsi="Arial" w:cs="Arial"/>
          <w:sz w:val="24"/>
          <w:szCs w:val="24"/>
        </w:rPr>
      </w:pPr>
      <w:r w:rsidRPr="00963997">
        <w:rPr>
          <w:rFonts w:ascii="Arial" w:hAnsi="Arial" w:cs="Arial"/>
          <w:sz w:val="24"/>
          <w:szCs w:val="24"/>
        </w:rPr>
        <w:t xml:space="preserve">Research shows young people who get stuck in this cycle at the start of their working lives are much more likely to continue this pattern into adulthood. If not effectively supported, they are more likely to </w:t>
      </w:r>
      <w:r w:rsidR="00DA26F0">
        <w:rPr>
          <w:rFonts w:ascii="Arial" w:hAnsi="Arial" w:cs="Arial"/>
          <w:sz w:val="24"/>
          <w:szCs w:val="24"/>
        </w:rPr>
        <w:t>remain</w:t>
      </w:r>
      <w:r w:rsidR="00DA26F0" w:rsidRPr="00963997">
        <w:rPr>
          <w:rFonts w:ascii="Arial" w:hAnsi="Arial" w:cs="Arial"/>
          <w:sz w:val="24"/>
          <w:szCs w:val="24"/>
        </w:rPr>
        <w:t xml:space="preserve"> </w:t>
      </w:r>
      <w:r w:rsidRPr="00963997">
        <w:rPr>
          <w:rFonts w:ascii="Arial" w:hAnsi="Arial" w:cs="Arial"/>
          <w:sz w:val="24"/>
          <w:szCs w:val="24"/>
        </w:rPr>
        <w:t>in low wage</w:t>
      </w:r>
      <w:r w:rsidR="00DA26F0">
        <w:rPr>
          <w:rFonts w:ascii="Arial" w:hAnsi="Arial" w:cs="Arial"/>
          <w:sz w:val="24"/>
          <w:szCs w:val="24"/>
        </w:rPr>
        <w:t xml:space="preserve"> jobs</w:t>
      </w:r>
      <w:r w:rsidRPr="00963997">
        <w:rPr>
          <w:rFonts w:ascii="Arial" w:hAnsi="Arial" w:cs="Arial"/>
          <w:sz w:val="24"/>
          <w:szCs w:val="24"/>
        </w:rPr>
        <w:t xml:space="preserve">, </w:t>
      </w:r>
      <w:r w:rsidR="00DA26F0">
        <w:rPr>
          <w:rFonts w:ascii="Arial" w:hAnsi="Arial" w:cs="Arial"/>
          <w:sz w:val="24"/>
          <w:szCs w:val="24"/>
        </w:rPr>
        <w:t xml:space="preserve">or be under-employed, or unemployed </w:t>
      </w:r>
      <w:r w:rsidRPr="00611629">
        <w:rPr>
          <w:rFonts w:ascii="Arial" w:hAnsi="Arial" w:cs="Arial"/>
          <w:sz w:val="24"/>
          <w:szCs w:val="24"/>
        </w:rPr>
        <w:t>for much of their lives.</w:t>
      </w:r>
      <w:r w:rsidR="00611629">
        <w:rPr>
          <w:rFonts w:ascii="Arial" w:hAnsi="Arial" w:cs="Arial"/>
          <w:sz w:val="24"/>
          <w:szCs w:val="24"/>
        </w:rPr>
        <w:t xml:space="preserve"> Employment outcomes have strong links to social wellbeing. </w:t>
      </w:r>
    </w:p>
    <w:p w14:paraId="36AF3A76" w14:textId="77777777" w:rsidR="00854696" w:rsidRPr="00797469" w:rsidRDefault="00854696" w:rsidP="008F03DF">
      <w:pPr>
        <w:pStyle w:val="Heading2"/>
        <w:spacing w:before="120" w:after="120" w:line="240" w:lineRule="atLeast"/>
        <w:rPr>
          <w:rFonts w:ascii="Calibri Light" w:hAnsi="Calibri Light" w:cs="Calibri Light"/>
          <w:color w:val="365F91" w:themeColor="accent1" w:themeShade="BF"/>
        </w:rPr>
      </w:pPr>
      <w:r w:rsidRPr="00797469">
        <w:rPr>
          <w:rFonts w:ascii="Calibri Light" w:hAnsi="Calibri Light" w:cs="Calibri Light"/>
          <w:color w:val="365F91" w:themeColor="accent1" w:themeShade="BF"/>
        </w:rPr>
        <w:t xml:space="preserve">A note on </w:t>
      </w:r>
      <w:r w:rsidR="00797469" w:rsidRPr="00797469">
        <w:rPr>
          <w:rFonts w:ascii="Calibri Light" w:hAnsi="Calibri Light" w:cs="Calibri Light"/>
          <w:color w:val="365F91" w:themeColor="accent1" w:themeShade="BF"/>
        </w:rPr>
        <w:t>data</w:t>
      </w:r>
    </w:p>
    <w:p w14:paraId="7B62911D" w14:textId="0E3EB121" w:rsidR="00797469" w:rsidRPr="006E6FCC" w:rsidRDefault="00797469" w:rsidP="008F03DF">
      <w:pPr>
        <w:pStyle w:val="ListParagraph"/>
        <w:numPr>
          <w:ilvl w:val="0"/>
          <w:numId w:val="39"/>
        </w:numPr>
        <w:spacing w:before="120" w:after="120" w:line="240" w:lineRule="atLeast"/>
        <w:ind w:left="567" w:hanging="567"/>
        <w:contextualSpacing w:val="0"/>
        <w:rPr>
          <w:rFonts w:ascii="Arial" w:hAnsi="Arial" w:cs="Arial"/>
          <w:sz w:val="24"/>
          <w:szCs w:val="24"/>
        </w:rPr>
      </w:pPr>
      <w:r w:rsidRPr="00797469">
        <w:rPr>
          <w:rFonts w:ascii="Arial" w:hAnsi="Arial" w:cs="Arial"/>
          <w:sz w:val="24"/>
          <w:szCs w:val="24"/>
        </w:rPr>
        <w:t xml:space="preserve">The Government response to the issues facing young people over the last decade has largely focused on reducing numbers of young people who are not in employment, </w:t>
      </w:r>
      <w:proofErr w:type="gramStart"/>
      <w:r w:rsidRPr="00797469">
        <w:rPr>
          <w:rFonts w:ascii="Arial" w:hAnsi="Arial" w:cs="Arial"/>
          <w:sz w:val="24"/>
          <w:szCs w:val="24"/>
        </w:rPr>
        <w:t>education</w:t>
      </w:r>
      <w:proofErr w:type="gramEnd"/>
      <w:r w:rsidRPr="00797469">
        <w:rPr>
          <w:rFonts w:ascii="Arial" w:hAnsi="Arial" w:cs="Arial"/>
          <w:sz w:val="24"/>
          <w:szCs w:val="24"/>
        </w:rPr>
        <w:t xml:space="preserve"> or training (NEET)</w:t>
      </w:r>
      <w:r>
        <w:rPr>
          <w:rFonts w:ascii="Arial" w:hAnsi="Arial" w:cs="Arial"/>
          <w:sz w:val="24"/>
          <w:szCs w:val="24"/>
        </w:rPr>
        <w:t>. NEET is a well-established and internationally recognised category</w:t>
      </w:r>
      <w:r w:rsidR="0088282C">
        <w:rPr>
          <w:rFonts w:ascii="Arial" w:hAnsi="Arial" w:cs="Arial"/>
          <w:sz w:val="24"/>
          <w:szCs w:val="24"/>
        </w:rPr>
        <w:t>;</w:t>
      </w:r>
      <w:r>
        <w:rPr>
          <w:rFonts w:ascii="Arial" w:hAnsi="Arial" w:cs="Arial"/>
          <w:sz w:val="24"/>
          <w:szCs w:val="24"/>
        </w:rPr>
        <w:t xml:space="preserve"> therefore</w:t>
      </w:r>
      <w:r w:rsidR="0088282C">
        <w:rPr>
          <w:rFonts w:ascii="Arial" w:hAnsi="Arial" w:cs="Arial"/>
          <w:sz w:val="24"/>
          <w:szCs w:val="24"/>
        </w:rPr>
        <w:t>,</w:t>
      </w:r>
      <w:r>
        <w:rPr>
          <w:rFonts w:ascii="Arial" w:hAnsi="Arial" w:cs="Arial"/>
          <w:sz w:val="24"/>
          <w:szCs w:val="24"/>
        </w:rPr>
        <w:t xml:space="preserve"> much of the information presented in this document i</w:t>
      </w:r>
      <w:r w:rsidR="008B7D3C">
        <w:rPr>
          <w:rFonts w:ascii="Arial" w:hAnsi="Arial" w:cs="Arial"/>
          <w:sz w:val="24"/>
          <w:szCs w:val="24"/>
        </w:rPr>
        <w:t>s focussed on NEET</w:t>
      </w:r>
      <w:r w:rsidR="00561F81">
        <w:rPr>
          <w:rFonts w:ascii="Arial" w:hAnsi="Arial" w:cs="Arial"/>
          <w:sz w:val="24"/>
          <w:szCs w:val="24"/>
        </w:rPr>
        <w:t>s</w:t>
      </w:r>
      <w:r w:rsidR="008B7D3C">
        <w:rPr>
          <w:rFonts w:ascii="Arial" w:hAnsi="Arial" w:cs="Arial"/>
          <w:sz w:val="24"/>
          <w:szCs w:val="24"/>
        </w:rPr>
        <w:t xml:space="preserve">. There is limited New Zealand analysis done on the cohort of </w:t>
      </w:r>
      <w:r w:rsidR="008B7D3C" w:rsidRPr="00963997">
        <w:rPr>
          <w:rFonts w:ascii="Arial" w:hAnsi="Arial" w:cs="Arial"/>
          <w:sz w:val="24"/>
        </w:rPr>
        <w:t>16 to 24-year olds</w:t>
      </w:r>
      <w:r w:rsidR="008B7D3C">
        <w:rPr>
          <w:rFonts w:ascii="Arial" w:hAnsi="Arial" w:cs="Arial"/>
          <w:sz w:val="24"/>
        </w:rPr>
        <w:t xml:space="preserve"> who are at risk of limited employment – therefore we have had to use NEET as a proxy.</w:t>
      </w:r>
    </w:p>
    <w:p w14:paraId="0F65F3FC" w14:textId="2092FFB7" w:rsidR="006E6FCC" w:rsidRPr="00561F81" w:rsidRDefault="006E6FCC" w:rsidP="008F03DF">
      <w:pPr>
        <w:pStyle w:val="ListParagraph"/>
        <w:numPr>
          <w:ilvl w:val="0"/>
          <w:numId w:val="39"/>
        </w:numPr>
        <w:spacing w:before="120" w:after="120" w:line="240" w:lineRule="atLeast"/>
        <w:ind w:left="567" w:hanging="567"/>
        <w:contextualSpacing w:val="0"/>
        <w:rPr>
          <w:rFonts w:ascii="Arial" w:hAnsi="Arial" w:cs="Arial"/>
          <w:sz w:val="24"/>
          <w:szCs w:val="24"/>
        </w:rPr>
      </w:pPr>
      <w:r>
        <w:rPr>
          <w:rFonts w:ascii="Arial" w:hAnsi="Arial" w:cs="Arial"/>
          <w:sz w:val="24"/>
        </w:rPr>
        <w:t>We also know that income levels and poverty have a bearing on limited employment for young people</w:t>
      </w:r>
      <w:r w:rsidR="006F2D0D">
        <w:rPr>
          <w:rFonts w:ascii="Arial" w:hAnsi="Arial" w:cs="Arial"/>
          <w:sz w:val="24"/>
        </w:rPr>
        <w:t>;</w:t>
      </w:r>
      <w:r>
        <w:rPr>
          <w:rFonts w:ascii="Arial" w:hAnsi="Arial" w:cs="Arial"/>
          <w:sz w:val="24"/>
        </w:rPr>
        <w:t xml:space="preserve"> however</w:t>
      </w:r>
      <w:r w:rsidR="006F2D0D">
        <w:rPr>
          <w:rFonts w:ascii="Arial" w:hAnsi="Arial" w:cs="Arial"/>
          <w:sz w:val="24"/>
        </w:rPr>
        <w:t>,</w:t>
      </w:r>
      <w:r>
        <w:rPr>
          <w:rFonts w:ascii="Arial" w:hAnsi="Arial" w:cs="Arial"/>
          <w:sz w:val="24"/>
        </w:rPr>
        <w:t xml:space="preserve"> data on these measures in relation to young people and their employment outcomes is limited.</w:t>
      </w:r>
    </w:p>
    <w:p w14:paraId="554DB422" w14:textId="77777777" w:rsidR="001431D6" w:rsidRPr="00854696" w:rsidRDefault="001431D6" w:rsidP="008F03DF">
      <w:pPr>
        <w:pStyle w:val="Heading2"/>
        <w:spacing w:before="120" w:after="120" w:line="240" w:lineRule="atLeast"/>
        <w:rPr>
          <w:rFonts w:ascii="Calibri Light" w:hAnsi="Calibri Light" w:cs="Calibri Light"/>
          <w:color w:val="365F91" w:themeColor="accent1" w:themeShade="BF"/>
        </w:rPr>
      </w:pPr>
      <w:r w:rsidRPr="00854696">
        <w:rPr>
          <w:rFonts w:ascii="Calibri Light" w:hAnsi="Calibri Light" w:cs="Calibri Light"/>
          <w:color w:val="365F91" w:themeColor="accent1" w:themeShade="BF"/>
        </w:rPr>
        <w:lastRenderedPageBreak/>
        <w:t>General labour market trends and performance</w:t>
      </w:r>
    </w:p>
    <w:p w14:paraId="21044EED" w14:textId="77777777" w:rsidR="001431D6" w:rsidRPr="00AF6E4F" w:rsidRDefault="001431D6" w:rsidP="008F03DF">
      <w:pPr>
        <w:pStyle w:val="ListParagraph"/>
        <w:numPr>
          <w:ilvl w:val="0"/>
          <w:numId w:val="39"/>
        </w:numPr>
        <w:spacing w:before="120" w:after="120" w:line="240" w:lineRule="atLeast"/>
        <w:ind w:left="567" w:hanging="567"/>
        <w:contextualSpacing w:val="0"/>
        <w:rPr>
          <w:rFonts w:ascii="Arial" w:hAnsi="Arial" w:cs="Arial"/>
          <w:sz w:val="24"/>
          <w:szCs w:val="24"/>
        </w:rPr>
      </w:pPr>
      <w:r w:rsidRPr="00AF6E4F">
        <w:rPr>
          <w:rFonts w:ascii="Arial" w:hAnsi="Arial" w:cs="Arial"/>
          <w:sz w:val="24"/>
          <w:szCs w:val="24"/>
        </w:rPr>
        <w:t>New Zealanders’ wellbeing depends on the labour market functioning well. A well-functioning labour market has:</w:t>
      </w:r>
    </w:p>
    <w:p w14:paraId="3D549405" w14:textId="22E5DDF8" w:rsidR="001431D6" w:rsidRDefault="00B1110B" w:rsidP="008F03DF">
      <w:pPr>
        <w:pStyle w:val="ListParagraph"/>
        <w:numPr>
          <w:ilvl w:val="1"/>
          <w:numId w:val="39"/>
        </w:numPr>
        <w:spacing w:before="120" w:after="120" w:line="240" w:lineRule="atLeast"/>
        <w:ind w:left="992" w:hanging="425"/>
        <w:contextualSpacing w:val="0"/>
        <w:rPr>
          <w:rFonts w:ascii="Arial" w:hAnsi="Arial" w:cs="Arial"/>
          <w:sz w:val="24"/>
          <w:szCs w:val="24"/>
        </w:rPr>
      </w:pPr>
      <w:r>
        <w:rPr>
          <w:rFonts w:ascii="Arial" w:hAnsi="Arial" w:cs="Arial"/>
          <w:sz w:val="24"/>
          <w:szCs w:val="24"/>
        </w:rPr>
        <w:t>e</w:t>
      </w:r>
      <w:r w:rsidR="001431D6" w:rsidRPr="00AF6E4F">
        <w:rPr>
          <w:rFonts w:ascii="Arial" w:hAnsi="Arial" w:cs="Arial"/>
          <w:sz w:val="24"/>
          <w:szCs w:val="24"/>
        </w:rPr>
        <w:t>nough work for those who are able and want to work</w:t>
      </w:r>
    </w:p>
    <w:p w14:paraId="70BF46F3" w14:textId="77777777" w:rsidR="00B1110B" w:rsidRPr="00AF6E4F" w:rsidRDefault="00B1110B" w:rsidP="008F03DF">
      <w:pPr>
        <w:pStyle w:val="ListParagraph"/>
        <w:numPr>
          <w:ilvl w:val="1"/>
          <w:numId w:val="39"/>
        </w:numPr>
        <w:spacing w:before="120" w:after="120" w:line="240" w:lineRule="atLeast"/>
        <w:ind w:left="992" w:hanging="425"/>
        <w:contextualSpacing w:val="0"/>
        <w:rPr>
          <w:rFonts w:ascii="Arial" w:hAnsi="Arial" w:cs="Arial"/>
          <w:sz w:val="24"/>
          <w:szCs w:val="24"/>
        </w:rPr>
      </w:pPr>
      <w:r>
        <w:rPr>
          <w:rFonts w:ascii="Arial" w:hAnsi="Arial" w:cs="Arial"/>
          <w:sz w:val="24"/>
          <w:szCs w:val="24"/>
        </w:rPr>
        <w:t>good work/life balances</w:t>
      </w:r>
    </w:p>
    <w:p w14:paraId="7511CEE3" w14:textId="67812D89" w:rsidR="001431D6" w:rsidRPr="00AF6E4F" w:rsidRDefault="00B1110B" w:rsidP="008F03DF">
      <w:pPr>
        <w:pStyle w:val="ListParagraph"/>
        <w:numPr>
          <w:ilvl w:val="1"/>
          <w:numId w:val="39"/>
        </w:numPr>
        <w:spacing w:before="120" w:after="120" w:line="240" w:lineRule="atLeast"/>
        <w:ind w:left="992" w:hanging="425"/>
        <w:contextualSpacing w:val="0"/>
        <w:rPr>
          <w:rFonts w:ascii="Arial" w:hAnsi="Arial" w:cs="Arial"/>
          <w:sz w:val="24"/>
          <w:szCs w:val="24"/>
        </w:rPr>
      </w:pPr>
      <w:r>
        <w:rPr>
          <w:rFonts w:ascii="Arial" w:hAnsi="Arial" w:cs="Arial"/>
          <w:sz w:val="24"/>
          <w:szCs w:val="24"/>
        </w:rPr>
        <w:t>f</w:t>
      </w:r>
      <w:r w:rsidR="001431D6" w:rsidRPr="00AF6E4F">
        <w:rPr>
          <w:rFonts w:ascii="Arial" w:hAnsi="Arial" w:cs="Arial"/>
          <w:sz w:val="24"/>
          <w:szCs w:val="24"/>
        </w:rPr>
        <w:t>irms able to efficiently access the quantity and type of workers they need, when and where needed</w:t>
      </w:r>
    </w:p>
    <w:p w14:paraId="473AC8FC" w14:textId="61BCD4AF" w:rsidR="001431D6" w:rsidRDefault="00B1110B" w:rsidP="008F03DF">
      <w:pPr>
        <w:pStyle w:val="ListParagraph"/>
        <w:numPr>
          <w:ilvl w:val="1"/>
          <w:numId w:val="39"/>
        </w:numPr>
        <w:spacing w:before="120" w:after="120" w:line="240" w:lineRule="atLeast"/>
        <w:ind w:left="992" w:hanging="425"/>
        <w:contextualSpacing w:val="0"/>
        <w:rPr>
          <w:rFonts w:ascii="Arial" w:hAnsi="Arial" w:cs="Arial"/>
          <w:sz w:val="24"/>
          <w:szCs w:val="24"/>
        </w:rPr>
      </w:pPr>
      <w:r>
        <w:rPr>
          <w:rFonts w:ascii="Arial" w:hAnsi="Arial" w:cs="Arial"/>
          <w:sz w:val="24"/>
          <w:szCs w:val="24"/>
        </w:rPr>
        <w:t>e</w:t>
      </w:r>
      <w:r w:rsidR="001431D6" w:rsidRPr="00AF6E4F">
        <w:rPr>
          <w:rFonts w:ascii="Arial" w:hAnsi="Arial" w:cs="Arial"/>
          <w:sz w:val="24"/>
          <w:szCs w:val="24"/>
        </w:rPr>
        <w:t>quity of labour market opportunities across the labour force</w:t>
      </w:r>
      <w:r>
        <w:rPr>
          <w:rFonts w:ascii="Arial" w:hAnsi="Arial" w:cs="Arial"/>
          <w:sz w:val="24"/>
          <w:szCs w:val="24"/>
        </w:rPr>
        <w:t>, and across the life cycle</w:t>
      </w:r>
    </w:p>
    <w:p w14:paraId="353D4264" w14:textId="77777777" w:rsidR="00B1110B" w:rsidRPr="00AF6E4F" w:rsidRDefault="00B1110B" w:rsidP="008F03DF">
      <w:pPr>
        <w:pStyle w:val="ListParagraph"/>
        <w:numPr>
          <w:ilvl w:val="1"/>
          <w:numId w:val="39"/>
        </w:numPr>
        <w:spacing w:before="120" w:after="120" w:line="240" w:lineRule="atLeast"/>
        <w:ind w:left="992" w:hanging="425"/>
        <w:contextualSpacing w:val="0"/>
        <w:rPr>
          <w:rFonts w:ascii="Arial" w:hAnsi="Arial" w:cs="Arial"/>
          <w:sz w:val="24"/>
          <w:szCs w:val="24"/>
        </w:rPr>
      </w:pPr>
      <w:r>
        <w:rPr>
          <w:rFonts w:ascii="Arial" w:hAnsi="Arial" w:cs="Arial"/>
          <w:sz w:val="24"/>
          <w:szCs w:val="24"/>
        </w:rPr>
        <w:t>laws that protect workers from exploitation, and checks and balances on abuses of power by employers</w:t>
      </w:r>
    </w:p>
    <w:p w14:paraId="0A28BDD0" w14:textId="24381757" w:rsidR="001431D6" w:rsidRPr="00AF6E4F" w:rsidRDefault="00B1110B" w:rsidP="008F03DF">
      <w:pPr>
        <w:pStyle w:val="ListParagraph"/>
        <w:numPr>
          <w:ilvl w:val="1"/>
          <w:numId w:val="39"/>
        </w:numPr>
        <w:spacing w:before="120" w:after="120" w:line="240" w:lineRule="atLeast"/>
        <w:ind w:left="992" w:hanging="425"/>
        <w:contextualSpacing w:val="0"/>
        <w:rPr>
          <w:rFonts w:ascii="Arial" w:hAnsi="Arial" w:cs="Arial"/>
          <w:sz w:val="24"/>
          <w:szCs w:val="24"/>
        </w:rPr>
      </w:pPr>
      <w:r>
        <w:rPr>
          <w:rFonts w:ascii="Arial" w:hAnsi="Arial" w:cs="Arial"/>
          <w:sz w:val="24"/>
          <w:szCs w:val="24"/>
        </w:rPr>
        <w:t>e</w:t>
      </w:r>
      <w:r w:rsidR="001431D6" w:rsidRPr="00AF6E4F">
        <w:rPr>
          <w:rFonts w:ascii="Arial" w:hAnsi="Arial" w:cs="Arial"/>
          <w:sz w:val="24"/>
          <w:szCs w:val="24"/>
        </w:rPr>
        <w:t>ffective use of domestic human capital and people’s potential in paid employment and other activities (such as caregiving)</w:t>
      </w:r>
    </w:p>
    <w:p w14:paraId="580692FA" w14:textId="16E42F50" w:rsidR="001431D6" w:rsidRPr="00AF6E4F" w:rsidRDefault="00B1110B" w:rsidP="008F03DF">
      <w:pPr>
        <w:pStyle w:val="ListParagraph"/>
        <w:numPr>
          <w:ilvl w:val="1"/>
          <w:numId w:val="39"/>
        </w:numPr>
        <w:spacing w:before="120" w:after="120" w:line="240" w:lineRule="atLeast"/>
        <w:ind w:left="992" w:hanging="425"/>
        <w:contextualSpacing w:val="0"/>
        <w:rPr>
          <w:rFonts w:ascii="Arial" w:hAnsi="Arial" w:cs="Arial"/>
          <w:sz w:val="24"/>
          <w:szCs w:val="24"/>
        </w:rPr>
      </w:pPr>
      <w:r>
        <w:rPr>
          <w:rFonts w:ascii="Arial" w:hAnsi="Arial" w:cs="Arial"/>
          <w:sz w:val="24"/>
          <w:szCs w:val="24"/>
        </w:rPr>
        <w:t>e</w:t>
      </w:r>
      <w:r w:rsidR="001431D6" w:rsidRPr="00AF6E4F">
        <w:rPr>
          <w:rFonts w:ascii="Arial" w:hAnsi="Arial" w:cs="Arial"/>
          <w:sz w:val="24"/>
          <w:szCs w:val="24"/>
        </w:rPr>
        <w:t xml:space="preserve">ffective and efficient matching and smooth transitions </w:t>
      </w:r>
      <w:proofErr w:type="gramStart"/>
      <w:r w:rsidR="001431D6" w:rsidRPr="00AF6E4F">
        <w:rPr>
          <w:rFonts w:ascii="Arial" w:hAnsi="Arial" w:cs="Arial"/>
          <w:sz w:val="24"/>
          <w:szCs w:val="24"/>
        </w:rPr>
        <w:t>between jobs</w:t>
      </w:r>
      <w:proofErr w:type="gramEnd"/>
      <w:r w:rsidR="001431D6" w:rsidRPr="00AF6E4F">
        <w:rPr>
          <w:rFonts w:ascii="Arial" w:hAnsi="Arial" w:cs="Arial"/>
          <w:sz w:val="24"/>
          <w:szCs w:val="24"/>
        </w:rPr>
        <w:t xml:space="preserve"> and into and out of the labour force</w:t>
      </w:r>
    </w:p>
    <w:p w14:paraId="0F41666D" w14:textId="4AF7C736" w:rsidR="001431D6" w:rsidRPr="00AF6E4F" w:rsidRDefault="00B1110B" w:rsidP="008F03DF">
      <w:pPr>
        <w:pStyle w:val="ListParagraph"/>
        <w:numPr>
          <w:ilvl w:val="1"/>
          <w:numId w:val="39"/>
        </w:numPr>
        <w:spacing w:before="120" w:after="120" w:line="240" w:lineRule="atLeast"/>
        <w:ind w:left="992" w:hanging="425"/>
        <w:contextualSpacing w:val="0"/>
        <w:rPr>
          <w:rFonts w:ascii="Arial" w:hAnsi="Arial" w:cs="Arial"/>
          <w:sz w:val="24"/>
          <w:szCs w:val="24"/>
        </w:rPr>
      </w:pPr>
      <w:r>
        <w:rPr>
          <w:rFonts w:ascii="Arial" w:hAnsi="Arial" w:cs="Arial"/>
          <w:sz w:val="24"/>
          <w:szCs w:val="24"/>
        </w:rPr>
        <w:t>s</w:t>
      </w:r>
      <w:r w:rsidR="001431D6" w:rsidRPr="00AF6E4F">
        <w:rPr>
          <w:rFonts w:ascii="Arial" w:hAnsi="Arial" w:cs="Arial"/>
          <w:sz w:val="24"/>
          <w:szCs w:val="24"/>
        </w:rPr>
        <w:t xml:space="preserve">haring of costs, </w:t>
      </w:r>
      <w:proofErr w:type="gramStart"/>
      <w:r w:rsidR="001431D6" w:rsidRPr="00AF6E4F">
        <w:rPr>
          <w:rFonts w:ascii="Arial" w:hAnsi="Arial" w:cs="Arial"/>
          <w:sz w:val="24"/>
          <w:szCs w:val="24"/>
        </w:rPr>
        <w:t>risks</w:t>
      </w:r>
      <w:proofErr w:type="gramEnd"/>
      <w:r w:rsidR="001431D6" w:rsidRPr="00AF6E4F">
        <w:rPr>
          <w:rFonts w:ascii="Arial" w:hAnsi="Arial" w:cs="Arial"/>
          <w:sz w:val="24"/>
          <w:szCs w:val="24"/>
        </w:rPr>
        <w:t xml:space="preserve"> and rewards of labour market participation</w:t>
      </w:r>
    </w:p>
    <w:p w14:paraId="5B0322C3" w14:textId="1EA23078" w:rsidR="001431D6" w:rsidRPr="00AF6E4F" w:rsidRDefault="00B1110B" w:rsidP="008F03DF">
      <w:pPr>
        <w:pStyle w:val="ListParagraph"/>
        <w:numPr>
          <w:ilvl w:val="1"/>
          <w:numId w:val="39"/>
        </w:numPr>
        <w:spacing w:before="120" w:after="120" w:line="240" w:lineRule="atLeast"/>
        <w:ind w:left="992" w:hanging="425"/>
        <w:contextualSpacing w:val="0"/>
        <w:rPr>
          <w:rFonts w:ascii="Arial" w:hAnsi="Arial" w:cs="Arial"/>
          <w:sz w:val="24"/>
          <w:szCs w:val="24"/>
        </w:rPr>
      </w:pPr>
      <w:r>
        <w:rPr>
          <w:rFonts w:ascii="Arial" w:hAnsi="Arial" w:cs="Arial"/>
          <w:sz w:val="24"/>
          <w:szCs w:val="24"/>
        </w:rPr>
        <w:t>r</w:t>
      </w:r>
      <w:r w:rsidR="001431D6" w:rsidRPr="00AF6E4F">
        <w:rPr>
          <w:rFonts w:ascii="Arial" w:hAnsi="Arial" w:cs="Arial"/>
          <w:sz w:val="24"/>
          <w:szCs w:val="24"/>
        </w:rPr>
        <w:t xml:space="preserve">esilient and adaptable institutions, </w:t>
      </w:r>
      <w:proofErr w:type="gramStart"/>
      <w:r w:rsidR="001431D6" w:rsidRPr="00AF6E4F">
        <w:rPr>
          <w:rFonts w:ascii="Arial" w:hAnsi="Arial" w:cs="Arial"/>
          <w:sz w:val="24"/>
          <w:szCs w:val="24"/>
        </w:rPr>
        <w:t>business</w:t>
      </w:r>
      <w:proofErr w:type="gramEnd"/>
      <w:r w:rsidR="001431D6" w:rsidRPr="00AF6E4F">
        <w:rPr>
          <w:rFonts w:ascii="Arial" w:hAnsi="Arial" w:cs="Arial"/>
          <w:sz w:val="24"/>
          <w:szCs w:val="24"/>
        </w:rPr>
        <w:t xml:space="preserve"> and workers</w:t>
      </w:r>
    </w:p>
    <w:p w14:paraId="22597167" w14:textId="4F2A3ADE" w:rsidR="001431D6" w:rsidRPr="00AF6E4F" w:rsidRDefault="00B1110B" w:rsidP="008F03DF">
      <w:pPr>
        <w:pStyle w:val="ListParagraph"/>
        <w:numPr>
          <w:ilvl w:val="1"/>
          <w:numId w:val="39"/>
        </w:numPr>
        <w:spacing w:before="120" w:after="120" w:line="240" w:lineRule="atLeast"/>
        <w:ind w:left="992" w:hanging="425"/>
        <w:contextualSpacing w:val="0"/>
        <w:rPr>
          <w:rFonts w:ascii="Arial" w:hAnsi="Arial" w:cs="Arial"/>
          <w:sz w:val="24"/>
          <w:szCs w:val="24"/>
        </w:rPr>
      </w:pPr>
      <w:r>
        <w:rPr>
          <w:rFonts w:ascii="Arial" w:hAnsi="Arial" w:cs="Arial"/>
          <w:sz w:val="24"/>
          <w:szCs w:val="24"/>
        </w:rPr>
        <w:t>i</w:t>
      </w:r>
      <w:r w:rsidR="001431D6" w:rsidRPr="00AF6E4F">
        <w:rPr>
          <w:rFonts w:ascii="Arial" w:hAnsi="Arial" w:cs="Arial"/>
          <w:sz w:val="24"/>
          <w:szCs w:val="24"/>
        </w:rPr>
        <w:t>ncreasing social connections, including opportunities to contribute.</w:t>
      </w:r>
    </w:p>
    <w:p w14:paraId="5C6038BC" w14:textId="2221373C" w:rsidR="001431D6" w:rsidRPr="00AF6E4F" w:rsidRDefault="001431D6" w:rsidP="008F03DF">
      <w:pPr>
        <w:pStyle w:val="ListParagraph"/>
        <w:numPr>
          <w:ilvl w:val="0"/>
          <w:numId w:val="39"/>
        </w:numPr>
        <w:spacing w:before="120" w:after="120" w:line="240" w:lineRule="atLeast"/>
        <w:ind w:left="567" w:hanging="567"/>
        <w:contextualSpacing w:val="0"/>
        <w:rPr>
          <w:rFonts w:ascii="Arial" w:hAnsi="Arial" w:cs="Arial"/>
          <w:sz w:val="24"/>
          <w:szCs w:val="24"/>
        </w:rPr>
      </w:pPr>
      <w:r w:rsidRPr="00AF6E4F">
        <w:rPr>
          <w:rFonts w:ascii="Arial" w:hAnsi="Arial" w:cs="Arial"/>
          <w:sz w:val="24"/>
          <w:szCs w:val="24"/>
        </w:rPr>
        <w:t xml:space="preserve">New Zealand’s past labour market performance is mixed, with overall strengths in creating a high number of jobs, high participation rates in the labour force and delivering some elements of job quality, such as flexibility and autonomy (see </w:t>
      </w:r>
      <w:r w:rsidRPr="00177BAA">
        <w:rPr>
          <w:rFonts w:ascii="Arial" w:hAnsi="Arial" w:cs="Arial"/>
          <w:b/>
          <w:sz w:val="24"/>
          <w:szCs w:val="24"/>
        </w:rPr>
        <w:t xml:space="preserve">Annex </w:t>
      </w:r>
      <w:r w:rsidR="00AC49E7">
        <w:rPr>
          <w:rFonts w:ascii="Arial" w:hAnsi="Arial" w:cs="Arial"/>
          <w:b/>
          <w:sz w:val="24"/>
          <w:szCs w:val="24"/>
        </w:rPr>
        <w:t>One</w:t>
      </w:r>
      <w:r w:rsidRPr="00AF6E4F">
        <w:rPr>
          <w:rFonts w:ascii="Arial" w:hAnsi="Arial" w:cs="Arial"/>
          <w:sz w:val="24"/>
          <w:szCs w:val="24"/>
        </w:rPr>
        <w:t xml:space="preserve">). However, </w:t>
      </w:r>
      <w:proofErr w:type="gramStart"/>
      <w:r w:rsidRPr="00AF6E4F">
        <w:rPr>
          <w:rFonts w:ascii="Arial" w:hAnsi="Arial" w:cs="Arial"/>
          <w:sz w:val="24"/>
          <w:szCs w:val="24"/>
        </w:rPr>
        <w:t>a number of</w:t>
      </w:r>
      <w:proofErr w:type="gramEnd"/>
      <w:r w:rsidRPr="00AF6E4F">
        <w:rPr>
          <w:rFonts w:ascii="Arial" w:hAnsi="Arial" w:cs="Arial"/>
          <w:sz w:val="24"/>
          <w:szCs w:val="24"/>
        </w:rPr>
        <w:t xml:space="preserve"> long-term problems endure:</w:t>
      </w:r>
    </w:p>
    <w:p w14:paraId="726D669A" w14:textId="77777777" w:rsidR="001431D6" w:rsidRPr="00AF6E4F" w:rsidRDefault="001431D6" w:rsidP="008F03DF">
      <w:pPr>
        <w:pStyle w:val="ListParagraph"/>
        <w:numPr>
          <w:ilvl w:val="1"/>
          <w:numId w:val="39"/>
        </w:numPr>
        <w:spacing w:before="120" w:after="120" w:line="240" w:lineRule="atLeast"/>
        <w:ind w:left="992" w:hanging="425"/>
        <w:contextualSpacing w:val="0"/>
        <w:rPr>
          <w:rFonts w:ascii="Arial" w:hAnsi="Arial" w:cs="Arial"/>
          <w:sz w:val="24"/>
          <w:szCs w:val="24"/>
        </w:rPr>
      </w:pPr>
      <w:r w:rsidRPr="00AF6E4F">
        <w:rPr>
          <w:rFonts w:ascii="Arial" w:hAnsi="Arial" w:cs="Arial"/>
          <w:sz w:val="24"/>
          <w:szCs w:val="24"/>
        </w:rPr>
        <w:t>Low labour productivity and low real wages</w:t>
      </w:r>
    </w:p>
    <w:p w14:paraId="6A0607C5" w14:textId="0B331BFE" w:rsidR="001431D6" w:rsidRPr="00AF6E4F" w:rsidRDefault="001431D6" w:rsidP="008F03DF">
      <w:pPr>
        <w:pStyle w:val="ListParagraph"/>
        <w:numPr>
          <w:ilvl w:val="1"/>
          <w:numId w:val="39"/>
        </w:numPr>
        <w:spacing w:before="120" w:after="120" w:line="240" w:lineRule="atLeast"/>
        <w:ind w:left="992" w:hanging="425"/>
        <w:contextualSpacing w:val="0"/>
        <w:rPr>
          <w:rFonts w:ascii="Arial" w:hAnsi="Arial" w:cs="Arial"/>
          <w:sz w:val="24"/>
          <w:szCs w:val="24"/>
        </w:rPr>
      </w:pPr>
      <w:r w:rsidRPr="00AF6E4F">
        <w:rPr>
          <w:rFonts w:ascii="Arial" w:hAnsi="Arial" w:cs="Arial"/>
          <w:sz w:val="24"/>
          <w:szCs w:val="24"/>
        </w:rPr>
        <w:t>Significant prevalence of low</w:t>
      </w:r>
      <w:r w:rsidR="00847D11">
        <w:rPr>
          <w:rFonts w:ascii="Arial" w:hAnsi="Arial" w:cs="Arial"/>
          <w:sz w:val="24"/>
          <w:szCs w:val="24"/>
        </w:rPr>
        <w:t>-</w:t>
      </w:r>
      <w:r w:rsidRPr="00AF6E4F">
        <w:rPr>
          <w:rFonts w:ascii="Arial" w:hAnsi="Arial" w:cs="Arial"/>
          <w:sz w:val="24"/>
          <w:szCs w:val="24"/>
        </w:rPr>
        <w:t>quality jobs</w:t>
      </w:r>
    </w:p>
    <w:p w14:paraId="04650B14" w14:textId="77777777" w:rsidR="001431D6" w:rsidRPr="00AF6E4F" w:rsidRDefault="001431D6" w:rsidP="008F03DF">
      <w:pPr>
        <w:pStyle w:val="ListParagraph"/>
        <w:numPr>
          <w:ilvl w:val="1"/>
          <w:numId w:val="39"/>
        </w:numPr>
        <w:spacing w:before="120" w:after="120" w:line="240" w:lineRule="atLeast"/>
        <w:ind w:left="992" w:hanging="425"/>
        <w:contextualSpacing w:val="0"/>
        <w:rPr>
          <w:rFonts w:ascii="Arial" w:hAnsi="Arial" w:cs="Arial"/>
          <w:sz w:val="24"/>
          <w:szCs w:val="24"/>
        </w:rPr>
      </w:pPr>
      <w:r w:rsidRPr="00AF6E4F">
        <w:rPr>
          <w:rFonts w:ascii="Arial" w:hAnsi="Arial" w:cs="Arial"/>
          <w:sz w:val="24"/>
          <w:szCs w:val="24"/>
        </w:rPr>
        <w:t>Ongoing skills supply and matching problems at individual and aggregate levels</w:t>
      </w:r>
    </w:p>
    <w:p w14:paraId="3366B111" w14:textId="05B4222F" w:rsidR="001431D6" w:rsidRPr="00B822E9" w:rsidRDefault="009E72E4" w:rsidP="008F03DF">
      <w:pPr>
        <w:pStyle w:val="ListParagraph"/>
        <w:numPr>
          <w:ilvl w:val="1"/>
          <w:numId w:val="39"/>
        </w:numPr>
        <w:spacing w:before="120" w:after="120" w:line="240" w:lineRule="atLeast"/>
        <w:ind w:left="992" w:hanging="425"/>
        <w:contextualSpacing w:val="0"/>
        <w:rPr>
          <w:rFonts w:ascii="Arial" w:hAnsi="Arial" w:cs="Arial"/>
          <w:sz w:val="24"/>
          <w:szCs w:val="24"/>
        </w:rPr>
      </w:pPr>
      <w:r>
        <w:rPr>
          <w:rFonts w:ascii="Arial" w:hAnsi="Arial" w:cs="Arial"/>
          <w:sz w:val="24"/>
          <w:szCs w:val="24"/>
        </w:rPr>
        <w:t xml:space="preserve">While </w:t>
      </w:r>
      <w:r w:rsidR="001431D6" w:rsidRPr="00AF6E4F">
        <w:rPr>
          <w:rFonts w:ascii="Arial" w:hAnsi="Arial" w:cs="Arial"/>
          <w:sz w:val="24"/>
          <w:szCs w:val="24"/>
        </w:rPr>
        <w:t xml:space="preserve">New Zealanders are well-educated </w:t>
      </w:r>
      <w:r>
        <w:rPr>
          <w:rFonts w:ascii="Arial" w:hAnsi="Arial" w:cs="Arial"/>
          <w:sz w:val="24"/>
          <w:szCs w:val="24"/>
        </w:rPr>
        <w:t>i</w:t>
      </w:r>
      <w:r w:rsidR="001431D6" w:rsidRPr="00AF6E4F">
        <w:rPr>
          <w:rFonts w:ascii="Arial" w:hAnsi="Arial" w:cs="Arial"/>
          <w:sz w:val="24"/>
          <w:szCs w:val="24"/>
        </w:rPr>
        <w:t xml:space="preserve">n aggregate, employers </w:t>
      </w:r>
      <w:r>
        <w:rPr>
          <w:rFonts w:ascii="Arial" w:hAnsi="Arial" w:cs="Arial"/>
          <w:sz w:val="24"/>
          <w:szCs w:val="24"/>
        </w:rPr>
        <w:t xml:space="preserve">often </w:t>
      </w:r>
      <w:r w:rsidR="001431D6" w:rsidRPr="00AF6E4F">
        <w:rPr>
          <w:rFonts w:ascii="Arial" w:hAnsi="Arial" w:cs="Arial"/>
          <w:sz w:val="24"/>
          <w:szCs w:val="24"/>
        </w:rPr>
        <w:t>say they can’t find the right workers, and workers</w:t>
      </w:r>
      <w:r>
        <w:rPr>
          <w:rFonts w:ascii="Arial" w:hAnsi="Arial" w:cs="Arial"/>
          <w:sz w:val="24"/>
          <w:szCs w:val="24"/>
        </w:rPr>
        <w:t xml:space="preserve"> </w:t>
      </w:r>
      <w:r w:rsidRPr="00710711">
        <w:rPr>
          <w:rFonts w:ascii="Arial" w:hAnsi="Arial" w:cs="Arial"/>
          <w:sz w:val="24"/>
          <w:szCs w:val="24"/>
        </w:rPr>
        <w:t>often</w:t>
      </w:r>
      <w:r w:rsidR="001431D6" w:rsidRPr="00AF6E4F">
        <w:rPr>
          <w:rFonts w:ascii="Arial" w:hAnsi="Arial" w:cs="Arial"/>
          <w:sz w:val="24"/>
          <w:szCs w:val="24"/>
        </w:rPr>
        <w:t xml:space="preserve"> say they struggle to find the right jobs</w:t>
      </w:r>
    </w:p>
    <w:p w14:paraId="05A3B8DD" w14:textId="77777777" w:rsidR="001431D6" w:rsidRPr="00AF6E4F" w:rsidRDefault="001431D6" w:rsidP="008F03DF">
      <w:pPr>
        <w:pStyle w:val="ListParagraph"/>
        <w:numPr>
          <w:ilvl w:val="1"/>
          <w:numId w:val="39"/>
        </w:numPr>
        <w:spacing w:before="120" w:after="120" w:line="240" w:lineRule="atLeast"/>
        <w:ind w:left="992" w:hanging="425"/>
        <w:contextualSpacing w:val="0"/>
        <w:rPr>
          <w:rFonts w:ascii="Arial" w:hAnsi="Arial" w:cs="Arial"/>
          <w:sz w:val="24"/>
          <w:szCs w:val="24"/>
        </w:rPr>
      </w:pPr>
      <w:r w:rsidRPr="00AF6E4F">
        <w:rPr>
          <w:rFonts w:ascii="Arial" w:hAnsi="Arial" w:cs="Arial"/>
          <w:sz w:val="24"/>
          <w:szCs w:val="24"/>
        </w:rPr>
        <w:t xml:space="preserve">Persistently poor outcomes for </w:t>
      </w:r>
      <w:proofErr w:type="gramStart"/>
      <w:r w:rsidRPr="00AF6E4F">
        <w:rPr>
          <w:rFonts w:ascii="Arial" w:hAnsi="Arial" w:cs="Arial"/>
          <w:sz w:val="24"/>
          <w:szCs w:val="24"/>
        </w:rPr>
        <w:t>particular populations</w:t>
      </w:r>
      <w:proofErr w:type="gramEnd"/>
      <w:r w:rsidRPr="00AF6E4F">
        <w:rPr>
          <w:rFonts w:ascii="Arial" w:hAnsi="Arial" w:cs="Arial"/>
          <w:sz w:val="24"/>
          <w:szCs w:val="24"/>
        </w:rPr>
        <w:t xml:space="preserve"> and regions, with pockets of serious distress.</w:t>
      </w:r>
    </w:p>
    <w:p w14:paraId="74F7A809" w14:textId="4048075F" w:rsidR="001431D6" w:rsidRPr="00854696" w:rsidRDefault="001431D6"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AF6E4F">
        <w:rPr>
          <w:rFonts w:ascii="Arial" w:hAnsi="Arial" w:cs="Arial"/>
          <w:sz w:val="24"/>
          <w:szCs w:val="24"/>
        </w:rPr>
        <w:t>There remain significant gaps in employment outcomes between certain population groups and the total population, including for young people, Māori, Pacific people, women</w:t>
      </w:r>
      <w:r w:rsidR="00B1110B">
        <w:rPr>
          <w:rFonts w:ascii="Arial" w:hAnsi="Arial" w:cs="Arial"/>
          <w:sz w:val="24"/>
          <w:szCs w:val="24"/>
        </w:rPr>
        <w:t xml:space="preserve">, </w:t>
      </w:r>
      <w:r w:rsidRPr="00AF6E4F">
        <w:rPr>
          <w:rFonts w:ascii="Arial" w:hAnsi="Arial" w:cs="Arial"/>
          <w:sz w:val="24"/>
          <w:szCs w:val="24"/>
        </w:rPr>
        <w:t>and disabled people</w:t>
      </w:r>
      <w:r w:rsidR="00B1110B">
        <w:rPr>
          <w:rFonts w:ascii="Arial" w:hAnsi="Arial" w:cs="Arial"/>
          <w:sz w:val="24"/>
          <w:szCs w:val="24"/>
        </w:rPr>
        <w:t xml:space="preserve">, as well as those who do poorly in education and </w:t>
      </w:r>
      <w:r w:rsidR="00847D11">
        <w:rPr>
          <w:rFonts w:ascii="Arial" w:hAnsi="Arial" w:cs="Arial"/>
          <w:sz w:val="24"/>
          <w:szCs w:val="24"/>
        </w:rPr>
        <w:t>experience</w:t>
      </w:r>
      <w:r w:rsidR="00B1110B">
        <w:rPr>
          <w:rFonts w:ascii="Arial" w:hAnsi="Arial" w:cs="Arial"/>
          <w:sz w:val="24"/>
          <w:szCs w:val="24"/>
        </w:rPr>
        <w:t xml:space="preserve"> poverty</w:t>
      </w:r>
      <w:r w:rsidRPr="00AF6E4F">
        <w:rPr>
          <w:rFonts w:ascii="Arial" w:hAnsi="Arial" w:cs="Arial"/>
          <w:sz w:val="24"/>
          <w:szCs w:val="24"/>
        </w:rPr>
        <w:t>.</w:t>
      </w:r>
    </w:p>
    <w:p w14:paraId="5BF6527C" w14:textId="77777777" w:rsidR="004008E2" w:rsidRPr="009D14F4" w:rsidRDefault="004008E2" w:rsidP="008F03DF">
      <w:pPr>
        <w:pStyle w:val="Heading2"/>
        <w:spacing w:before="120" w:after="120" w:line="240" w:lineRule="atLeast"/>
        <w:rPr>
          <w:rFonts w:ascii="Calibri Light" w:hAnsi="Calibri Light" w:cs="Calibri Light"/>
          <w:color w:val="365F91" w:themeColor="accent1" w:themeShade="BF"/>
        </w:rPr>
      </w:pPr>
      <w:r w:rsidRPr="009D14F4">
        <w:rPr>
          <w:rFonts w:ascii="Calibri Light" w:hAnsi="Calibri Light" w:cs="Calibri Light"/>
          <w:color w:val="365F91" w:themeColor="accent1" w:themeShade="BF"/>
        </w:rPr>
        <w:t>Past trends and current state</w:t>
      </w:r>
      <w:r w:rsidR="00D01F0A" w:rsidRPr="009D14F4">
        <w:rPr>
          <w:rFonts w:ascii="Calibri Light" w:hAnsi="Calibri Light" w:cs="Calibri Light"/>
          <w:color w:val="365F91" w:themeColor="accent1" w:themeShade="BF"/>
        </w:rPr>
        <w:t xml:space="preserve"> for young people</w:t>
      </w:r>
    </w:p>
    <w:p w14:paraId="13C74A92" w14:textId="77777777" w:rsidR="004008E2" w:rsidRPr="00710711" w:rsidRDefault="004008E2" w:rsidP="008F03DF">
      <w:pPr>
        <w:pStyle w:val="Heading3"/>
        <w:spacing w:before="120" w:after="120" w:line="240" w:lineRule="atLeast"/>
        <w:rPr>
          <w:color w:val="365F91" w:themeColor="accent1" w:themeShade="BF"/>
        </w:rPr>
      </w:pPr>
      <w:r w:rsidRPr="00710711">
        <w:rPr>
          <w:color w:val="365F91" w:themeColor="accent1" w:themeShade="BF"/>
        </w:rPr>
        <w:t>Demographic information</w:t>
      </w:r>
    </w:p>
    <w:p w14:paraId="5F848F9D" w14:textId="23EBD63A" w:rsidR="006B0E3E" w:rsidRPr="00854696" w:rsidRDefault="00F70584" w:rsidP="008F03DF">
      <w:pPr>
        <w:pStyle w:val="ListParagraph"/>
        <w:numPr>
          <w:ilvl w:val="0"/>
          <w:numId w:val="39"/>
        </w:numPr>
        <w:spacing w:before="120" w:after="120" w:line="240" w:lineRule="atLeast"/>
        <w:ind w:left="567" w:hanging="567"/>
        <w:contextualSpacing w:val="0"/>
        <w:rPr>
          <w:rFonts w:ascii="Arial" w:hAnsi="Arial" w:cs="Arial"/>
        </w:rPr>
      </w:pPr>
      <w:r w:rsidRPr="00854696">
        <w:rPr>
          <w:rFonts w:ascii="Arial" w:hAnsi="Arial" w:cs="Arial"/>
          <w:sz w:val="24"/>
          <w:szCs w:val="24"/>
        </w:rPr>
        <w:t>The 2018 Census recorded</w:t>
      </w:r>
      <w:r w:rsidR="00203F01">
        <w:rPr>
          <w:rFonts w:ascii="Arial" w:hAnsi="Arial" w:cs="Arial"/>
          <w:sz w:val="24"/>
          <w:szCs w:val="24"/>
        </w:rPr>
        <w:t xml:space="preserve"> </w:t>
      </w:r>
      <w:r w:rsidRPr="00854696">
        <w:rPr>
          <w:rFonts w:ascii="Arial" w:hAnsi="Arial" w:cs="Arial"/>
          <w:sz w:val="24"/>
          <w:szCs w:val="24"/>
        </w:rPr>
        <w:t xml:space="preserve">619,000 people aged between 15 and 24 years </w:t>
      </w:r>
      <w:r w:rsidR="004C5AAA">
        <w:rPr>
          <w:rFonts w:ascii="Arial" w:hAnsi="Arial" w:cs="Arial"/>
          <w:sz w:val="24"/>
          <w:szCs w:val="24"/>
        </w:rPr>
        <w:t xml:space="preserve">old </w:t>
      </w:r>
      <w:r w:rsidRPr="00854696">
        <w:rPr>
          <w:rFonts w:ascii="Arial" w:hAnsi="Arial" w:cs="Arial"/>
          <w:sz w:val="24"/>
          <w:szCs w:val="24"/>
        </w:rPr>
        <w:t>across the country</w:t>
      </w:r>
      <w:r w:rsidR="004C5AAA">
        <w:rPr>
          <w:rFonts w:ascii="Arial" w:hAnsi="Arial" w:cs="Arial"/>
          <w:sz w:val="24"/>
          <w:szCs w:val="24"/>
        </w:rPr>
        <w:t>,</w:t>
      </w:r>
      <w:r w:rsidRPr="00854696">
        <w:rPr>
          <w:rFonts w:ascii="Arial" w:hAnsi="Arial" w:cs="Arial"/>
          <w:sz w:val="24"/>
          <w:szCs w:val="24"/>
        </w:rPr>
        <w:t xml:space="preserve"> comprising 13.2</w:t>
      </w:r>
      <w:r w:rsidR="00710711">
        <w:rPr>
          <w:rFonts w:ascii="Arial" w:hAnsi="Arial" w:cs="Arial"/>
          <w:sz w:val="24"/>
          <w:szCs w:val="24"/>
        </w:rPr>
        <w:t xml:space="preserve">% </w:t>
      </w:r>
      <w:r w:rsidRPr="00854696">
        <w:rPr>
          <w:rFonts w:ascii="Arial" w:hAnsi="Arial" w:cs="Arial"/>
          <w:sz w:val="24"/>
          <w:szCs w:val="24"/>
        </w:rPr>
        <w:t xml:space="preserve">of the total population. </w:t>
      </w:r>
    </w:p>
    <w:p w14:paraId="7B866C4C" w14:textId="6755461F" w:rsidR="00F70584" w:rsidRPr="00854696" w:rsidRDefault="006B0E3E" w:rsidP="008F03DF">
      <w:pPr>
        <w:pStyle w:val="ListParagraph"/>
        <w:numPr>
          <w:ilvl w:val="0"/>
          <w:numId w:val="39"/>
        </w:numPr>
        <w:spacing w:before="120" w:after="120" w:line="240" w:lineRule="atLeast"/>
        <w:ind w:left="567" w:hanging="567"/>
        <w:contextualSpacing w:val="0"/>
        <w:rPr>
          <w:rFonts w:ascii="Arial" w:hAnsi="Arial" w:cs="Arial"/>
        </w:rPr>
      </w:pPr>
      <w:r w:rsidRPr="00854696">
        <w:rPr>
          <w:rFonts w:ascii="Arial" w:hAnsi="Arial" w:cs="Arial"/>
          <w:sz w:val="24"/>
          <w:szCs w:val="24"/>
        </w:rPr>
        <w:lastRenderedPageBreak/>
        <w:t xml:space="preserve">Among the </w:t>
      </w:r>
      <w:r w:rsidR="00CD3FF1" w:rsidRPr="00854696">
        <w:rPr>
          <w:rFonts w:ascii="Arial" w:hAnsi="Arial" w:cs="Arial"/>
          <w:sz w:val="24"/>
          <w:szCs w:val="24"/>
        </w:rPr>
        <w:t>total population, around 70</w:t>
      </w:r>
      <w:r w:rsidR="00710711">
        <w:rPr>
          <w:rFonts w:ascii="Arial" w:hAnsi="Arial" w:cs="Arial"/>
          <w:sz w:val="24"/>
          <w:szCs w:val="24"/>
        </w:rPr>
        <w:t xml:space="preserve">% </w:t>
      </w:r>
      <w:r w:rsidR="00CD3FF1" w:rsidRPr="00854696">
        <w:rPr>
          <w:rFonts w:ascii="Arial" w:hAnsi="Arial" w:cs="Arial"/>
          <w:sz w:val="24"/>
          <w:szCs w:val="24"/>
        </w:rPr>
        <w:t>identify as European, 16.5</w:t>
      </w:r>
      <w:r w:rsidR="00710711">
        <w:rPr>
          <w:rFonts w:ascii="Arial" w:hAnsi="Arial" w:cs="Arial"/>
          <w:sz w:val="24"/>
          <w:szCs w:val="24"/>
        </w:rPr>
        <w:t>%</w:t>
      </w:r>
      <w:r w:rsidR="004C5AAA">
        <w:rPr>
          <w:rFonts w:ascii="Arial" w:hAnsi="Arial" w:cs="Arial"/>
          <w:sz w:val="24"/>
          <w:szCs w:val="24"/>
        </w:rPr>
        <w:t xml:space="preserve"> as</w:t>
      </w:r>
      <w:r w:rsidR="00710711">
        <w:rPr>
          <w:rFonts w:ascii="Arial" w:hAnsi="Arial" w:cs="Arial"/>
          <w:sz w:val="24"/>
          <w:szCs w:val="24"/>
        </w:rPr>
        <w:t xml:space="preserve"> </w:t>
      </w:r>
      <w:r w:rsidR="00CD3FF1" w:rsidRPr="00854696">
        <w:rPr>
          <w:rFonts w:ascii="Arial" w:hAnsi="Arial" w:cs="Arial"/>
          <w:sz w:val="24"/>
          <w:szCs w:val="24"/>
        </w:rPr>
        <w:t>Māori,</w:t>
      </w:r>
      <w:r w:rsidR="00203F01">
        <w:rPr>
          <w:rFonts w:ascii="Arial" w:hAnsi="Arial" w:cs="Arial"/>
          <w:sz w:val="24"/>
          <w:szCs w:val="24"/>
        </w:rPr>
        <w:t xml:space="preserve"> </w:t>
      </w:r>
      <w:r w:rsidR="00203F01" w:rsidRPr="00B822E9">
        <w:rPr>
          <w:rFonts w:ascii="Arial" w:hAnsi="Arial" w:cs="Arial"/>
          <w:sz w:val="24"/>
          <w:szCs w:val="24"/>
        </w:rPr>
        <w:t>15</w:t>
      </w:r>
      <w:r w:rsidR="00710711">
        <w:rPr>
          <w:rFonts w:ascii="Arial" w:hAnsi="Arial" w:cs="Arial"/>
          <w:sz w:val="24"/>
          <w:szCs w:val="24"/>
        </w:rPr>
        <w:t xml:space="preserve">% </w:t>
      </w:r>
      <w:r w:rsidR="004C5AAA">
        <w:rPr>
          <w:rFonts w:ascii="Arial" w:hAnsi="Arial" w:cs="Arial"/>
          <w:sz w:val="24"/>
          <w:szCs w:val="24"/>
        </w:rPr>
        <w:t xml:space="preserve">as </w:t>
      </w:r>
      <w:r w:rsidR="00203F01" w:rsidRPr="00B822E9">
        <w:rPr>
          <w:rFonts w:ascii="Arial" w:hAnsi="Arial" w:cs="Arial"/>
          <w:sz w:val="24"/>
          <w:szCs w:val="24"/>
        </w:rPr>
        <w:t>Asian</w:t>
      </w:r>
      <w:r w:rsidR="004C5AAA">
        <w:rPr>
          <w:rFonts w:ascii="Arial" w:hAnsi="Arial" w:cs="Arial"/>
          <w:sz w:val="24"/>
          <w:szCs w:val="24"/>
        </w:rPr>
        <w:t>,</w:t>
      </w:r>
      <w:r w:rsidR="00CD3FF1" w:rsidRPr="00854696">
        <w:rPr>
          <w:rFonts w:ascii="Arial" w:hAnsi="Arial" w:cs="Arial"/>
          <w:sz w:val="24"/>
          <w:szCs w:val="24"/>
        </w:rPr>
        <w:t xml:space="preserve"> 8</w:t>
      </w:r>
      <w:r w:rsidR="00710711">
        <w:rPr>
          <w:rFonts w:ascii="Arial" w:hAnsi="Arial" w:cs="Arial"/>
          <w:sz w:val="24"/>
          <w:szCs w:val="24"/>
        </w:rPr>
        <w:t xml:space="preserve">% </w:t>
      </w:r>
      <w:r w:rsidR="004C5AAA">
        <w:rPr>
          <w:rFonts w:ascii="Arial" w:hAnsi="Arial" w:cs="Arial"/>
          <w:sz w:val="24"/>
          <w:szCs w:val="24"/>
        </w:rPr>
        <w:t xml:space="preserve">as </w:t>
      </w:r>
      <w:r w:rsidR="00CD3FF1" w:rsidRPr="00854696">
        <w:rPr>
          <w:rFonts w:ascii="Arial" w:hAnsi="Arial" w:cs="Arial"/>
          <w:sz w:val="24"/>
          <w:szCs w:val="24"/>
        </w:rPr>
        <w:t>Pacific, and 1.5</w:t>
      </w:r>
      <w:r w:rsidR="00710711">
        <w:rPr>
          <w:rFonts w:ascii="Arial" w:hAnsi="Arial" w:cs="Arial"/>
          <w:sz w:val="24"/>
          <w:szCs w:val="24"/>
        </w:rPr>
        <w:t xml:space="preserve">% </w:t>
      </w:r>
      <w:r w:rsidR="00652A7D">
        <w:rPr>
          <w:rFonts w:ascii="Arial" w:hAnsi="Arial" w:cs="Arial"/>
          <w:sz w:val="24"/>
          <w:szCs w:val="24"/>
        </w:rPr>
        <w:t xml:space="preserve">as </w:t>
      </w:r>
      <w:r w:rsidR="00CD3FF1" w:rsidRPr="00854696">
        <w:rPr>
          <w:rFonts w:ascii="Arial" w:hAnsi="Arial" w:cs="Arial"/>
          <w:sz w:val="24"/>
          <w:szCs w:val="24"/>
        </w:rPr>
        <w:t xml:space="preserve">Middle Eastern/Latin American/African. The </w:t>
      </w:r>
      <w:r w:rsidRPr="00854696">
        <w:rPr>
          <w:rFonts w:ascii="Arial" w:hAnsi="Arial" w:cs="Arial"/>
          <w:sz w:val="24"/>
          <w:szCs w:val="24"/>
        </w:rPr>
        <w:t>15</w:t>
      </w:r>
      <w:r w:rsidR="0043679A">
        <w:rPr>
          <w:rFonts w:ascii="Arial" w:hAnsi="Arial" w:cs="Arial"/>
          <w:sz w:val="24"/>
          <w:szCs w:val="24"/>
        </w:rPr>
        <w:t xml:space="preserve"> – </w:t>
      </w:r>
      <w:proofErr w:type="gramStart"/>
      <w:r w:rsidRPr="00854696">
        <w:rPr>
          <w:rFonts w:ascii="Arial" w:hAnsi="Arial" w:cs="Arial"/>
          <w:sz w:val="24"/>
          <w:szCs w:val="24"/>
        </w:rPr>
        <w:t xml:space="preserve">24 </w:t>
      </w:r>
      <w:r w:rsidR="00203F01">
        <w:rPr>
          <w:rFonts w:ascii="Arial" w:hAnsi="Arial" w:cs="Arial"/>
          <w:sz w:val="24"/>
          <w:szCs w:val="24"/>
        </w:rPr>
        <w:t>year old</w:t>
      </w:r>
      <w:proofErr w:type="gramEnd"/>
      <w:r w:rsidR="00203F01">
        <w:rPr>
          <w:rFonts w:ascii="Arial" w:hAnsi="Arial" w:cs="Arial"/>
          <w:sz w:val="24"/>
          <w:szCs w:val="24"/>
        </w:rPr>
        <w:t xml:space="preserve"> </w:t>
      </w:r>
      <w:r w:rsidRPr="00854696">
        <w:rPr>
          <w:rFonts w:ascii="Arial" w:hAnsi="Arial" w:cs="Arial"/>
          <w:sz w:val="24"/>
          <w:szCs w:val="24"/>
        </w:rPr>
        <w:t>population</w:t>
      </w:r>
      <w:r w:rsidR="00CD3FF1" w:rsidRPr="00854696">
        <w:rPr>
          <w:rFonts w:ascii="Arial" w:hAnsi="Arial" w:cs="Arial"/>
          <w:sz w:val="24"/>
          <w:szCs w:val="24"/>
        </w:rPr>
        <w:t xml:space="preserve"> has a lower proportion of those identifying as European and higher proportions identifying with other groups. T</w:t>
      </w:r>
      <w:r w:rsidRPr="00854696">
        <w:rPr>
          <w:rFonts w:ascii="Arial" w:hAnsi="Arial" w:cs="Arial"/>
          <w:sz w:val="24"/>
          <w:szCs w:val="24"/>
        </w:rPr>
        <w:t>wo thirds are European, 22</w:t>
      </w:r>
      <w:r w:rsidR="00710711">
        <w:rPr>
          <w:rFonts w:ascii="Arial" w:hAnsi="Arial" w:cs="Arial"/>
          <w:sz w:val="24"/>
          <w:szCs w:val="24"/>
        </w:rPr>
        <w:t xml:space="preserve">% </w:t>
      </w:r>
      <w:r w:rsidRPr="00854696">
        <w:rPr>
          <w:rFonts w:ascii="Arial" w:hAnsi="Arial" w:cs="Arial"/>
          <w:sz w:val="24"/>
          <w:szCs w:val="24"/>
        </w:rPr>
        <w:t>are Māori,</w:t>
      </w:r>
      <w:r w:rsidR="00203F01">
        <w:rPr>
          <w:rFonts w:ascii="Arial" w:hAnsi="Arial" w:cs="Arial"/>
          <w:sz w:val="24"/>
          <w:szCs w:val="24"/>
        </w:rPr>
        <w:t xml:space="preserve"> </w:t>
      </w:r>
      <w:r w:rsidR="00203F01" w:rsidRPr="00B822E9">
        <w:rPr>
          <w:rFonts w:ascii="Arial" w:hAnsi="Arial" w:cs="Arial"/>
          <w:sz w:val="24"/>
          <w:szCs w:val="24"/>
        </w:rPr>
        <w:t>17</w:t>
      </w:r>
      <w:r w:rsidR="00710711">
        <w:rPr>
          <w:rFonts w:ascii="Arial" w:hAnsi="Arial" w:cs="Arial"/>
          <w:sz w:val="24"/>
          <w:szCs w:val="24"/>
        </w:rPr>
        <w:t xml:space="preserve">% </w:t>
      </w:r>
      <w:r w:rsidR="00203F01" w:rsidRPr="00B822E9">
        <w:rPr>
          <w:rFonts w:ascii="Arial" w:hAnsi="Arial" w:cs="Arial"/>
          <w:sz w:val="24"/>
          <w:szCs w:val="24"/>
        </w:rPr>
        <w:t>Asian</w:t>
      </w:r>
      <w:r w:rsidR="00652A7D">
        <w:rPr>
          <w:rFonts w:ascii="Arial" w:hAnsi="Arial" w:cs="Arial"/>
          <w:sz w:val="24"/>
          <w:szCs w:val="24"/>
        </w:rPr>
        <w:t>,</w:t>
      </w:r>
      <w:r w:rsidRPr="00854696">
        <w:rPr>
          <w:rFonts w:ascii="Arial" w:hAnsi="Arial" w:cs="Arial"/>
          <w:sz w:val="24"/>
          <w:szCs w:val="24"/>
        </w:rPr>
        <w:t xml:space="preserve"> 12</w:t>
      </w:r>
      <w:r w:rsidR="00710711">
        <w:rPr>
          <w:rFonts w:ascii="Arial" w:hAnsi="Arial" w:cs="Arial"/>
          <w:sz w:val="24"/>
          <w:szCs w:val="24"/>
        </w:rPr>
        <w:t xml:space="preserve">% </w:t>
      </w:r>
      <w:r w:rsidRPr="00854696">
        <w:rPr>
          <w:rFonts w:ascii="Arial" w:hAnsi="Arial" w:cs="Arial"/>
          <w:sz w:val="24"/>
          <w:szCs w:val="24"/>
        </w:rPr>
        <w:t>Pacific, and 1.6</w:t>
      </w:r>
      <w:r w:rsidR="00710711">
        <w:rPr>
          <w:rFonts w:ascii="Arial" w:hAnsi="Arial" w:cs="Arial"/>
          <w:sz w:val="24"/>
          <w:szCs w:val="24"/>
        </w:rPr>
        <w:t xml:space="preserve">% </w:t>
      </w:r>
      <w:r w:rsidRPr="00854696">
        <w:rPr>
          <w:rFonts w:ascii="Arial" w:hAnsi="Arial" w:cs="Arial"/>
          <w:sz w:val="24"/>
          <w:szCs w:val="24"/>
        </w:rPr>
        <w:t>Middle Eastern/Latin American/African.</w:t>
      </w:r>
    </w:p>
    <w:tbl>
      <w:tblPr>
        <w:tblStyle w:val="GridTable1Light-Accent1"/>
        <w:tblW w:w="0" w:type="auto"/>
        <w:tblLook w:val="04A0" w:firstRow="1" w:lastRow="0" w:firstColumn="1" w:lastColumn="0" w:noHBand="0" w:noVBand="1"/>
      </w:tblPr>
      <w:tblGrid>
        <w:gridCol w:w="2506"/>
        <w:gridCol w:w="1920"/>
        <w:gridCol w:w="2436"/>
        <w:gridCol w:w="2154"/>
      </w:tblGrid>
      <w:tr w:rsidR="00865D25" w:rsidRPr="00227939" w14:paraId="610FB8C5" w14:textId="77777777" w:rsidTr="00854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14:paraId="6EF59FE2" w14:textId="77777777" w:rsidR="00865D25" w:rsidRPr="00854696" w:rsidRDefault="00865D25" w:rsidP="008F03DF">
            <w:pPr>
              <w:spacing w:before="120" w:after="120" w:line="240" w:lineRule="atLeast"/>
              <w:rPr>
                <w:rFonts w:ascii="Arial" w:hAnsi="Arial" w:cs="Arial"/>
                <w:sz w:val="24"/>
                <w:szCs w:val="24"/>
              </w:rPr>
            </w:pPr>
            <w:r w:rsidRPr="00854696">
              <w:rPr>
                <w:rFonts w:ascii="Arial" w:hAnsi="Arial" w:cs="Arial"/>
                <w:sz w:val="24"/>
                <w:szCs w:val="24"/>
              </w:rPr>
              <w:t xml:space="preserve">Highest proportion of 15 – </w:t>
            </w:r>
            <w:proofErr w:type="gramStart"/>
            <w:r w:rsidRPr="00854696">
              <w:rPr>
                <w:rFonts w:ascii="Arial" w:hAnsi="Arial" w:cs="Arial"/>
                <w:sz w:val="24"/>
                <w:szCs w:val="24"/>
              </w:rPr>
              <w:t>24 year</w:t>
            </w:r>
            <w:proofErr w:type="gramEnd"/>
            <w:r w:rsidRPr="00854696">
              <w:rPr>
                <w:rFonts w:ascii="Arial" w:hAnsi="Arial" w:cs="Arial"/>
                <w:sz w:val="24"/>
                <w:szCs w:val="24"/>
              </w:rPr>
              <w:t xml:space="preserve"> olds compared to the total area population</w:t>
            </w:r>
          </w:p>
        </w:tc>
        <w:tc>
          <w:tcPr>
            <w:tcW w:w="1920" w:type="dxa"/>
          </w:tcPr>
          <w:p w14:paraId="6003A01A" w14:textId="6B4B251C" w:rsidR="00865D25" w:rsidRPr="00854696" w:rsidRDefault="00710711" w:rsidP="008F03DF">
            <w:pPr>
              <w:spacing w:before="120"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t>
            </w:r>
          </w:p>
        </w:tc>
        <w:tc>
          <w:tcPr>
            <w:tcW w:w="2436" w:type="dxa"/>
          </w:tcPr>
          <w:p w14:paraId="06220128" w14:textId="77777777" w:rsidR="00865D25" w:rsidRPr="00854696" w:rsidRDefault="00865D25" w:rsidP="008F03DF">
            <w:pPr>
              <w:spacing w:before="120"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4696">
              <w:rPr>
                <w:rFonts w:ascii="Arial" w:hAnsi="Arial" w:cs="Arial"/>
                <w:sz w:val="24"/>
                <w:szCs w:val="24"/>
              </w:rPr>
              <w:t xml:space="preserve">Highest number of 15 – </w:t>
            </w:r>
            <w:proofErr w:type="gramStart"/>
            <w:r w:rsidRPr="00854696">
              <w:rPr>
                <w:rFonts w:ascii="Arial" w:hAnsi="Arial" w:cs="Arial"/>
                <w:sz w:val="24"/>
                <w:szCs w:val="24"/>
              </w:rPr>
              <w:t>24 year</w:t>
            </w:r>
            <w:proofErr w:type="gramEnd"/>
            <w:r w:rsidRPr="00854696">
              <w:rPr>
                <w:rFonts w:ascii="Arial" w:hAnsi="Arial" w:cs="Arial"/>
                <w:sz w:val="24"/>
                <w:szCs w:val="24"/>
              </w:rPr>
              <w:t xml:space="preserve"> olds by territorial authority area</w:t>
            </w:r>
          </w:p>
        </w:tc>
        <w:tc>
          <w:tcPr>
            <w:tcW w:w="2154" w:type="dxa"/>
          </w:tcPr>
          <w:p w14:paraId="61930ABC" w14:textId="77777777" w:rsidR="00865D25" w:rsidRPr="00854696" w:rsidRDefault="00865D25" w:rsidP="008F03DF">
            <w:pPr>
              <w:spacing w:before="120"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4696">
              <w:rPr>
                <w:rFonts w:ascii="Arial" w:hAnsi="Arial" w:cs="Arial"/>
                <w:sz w:val="24"/>
                <w:szCs w:val="24"/>
              </w:rPr>
              <w:t>Number</w:t>
            </w:r>
          </w:p>
        </w:tc>
      </w:tr>
      <w:tr w:rsidR="00227939" w:rsidRPr="00227939" w14:paraId="2BCC56A3" w14:textId="77777777" w:rsidTr="00854696">
        <w:trPr>
          <w:trHeight w:val="400"/>
        </w:trPr>
        <w:tc>
          <w:tcPr>
            <w:cnfStyle w:val="001000000000" w:firstRow="0" w:lastRow="0" w:firstColumn="1" w:lastColumn="0" w:oddVBand="0" w:evenVBand="0" w:oddHBand="0" w:evenHBand="0" w:firstRowFirstColumn="0" w:firstRowLastColumn="0" w:lastRowFirstColumn="0" w:lastRowLastColumn="0"/>
            <w:tcW w:w="2506" w:type="dxa"/>
          </w:tcPr>
          <w:p w14:paraId="33303BAD" w14:textId="77777777" w:rsidR="00227939" w:rsidRPr="00854696" w:rsidRDefault="00227939" w:rsidP="008F03DF">
            <w:pPr>
              <w:spacing w:before="120" w:after="120" w:line="240" w:lineRule="atLeast"/>
              <w:rPr>
                <w:rFonts w:ascii="Arial" w:eastAsia="Times New Roman" w:hAnsi="Arial" w:cs="Arial"/>
                <w:b w:val="0"/>
                <w:sz w:val="24"/>
                <w:szCs w:val="24"/>
                <w:lang w:eastAsia="en-NZ"/>
              </w:rPr>
            </w:pPr>
            <w:r w:rsidRPr="00854696">
              <w:rPr>
                <w:rFonts w:ascii="Arial" w:eastAsia="Times New Roman" w:hAnsi="Arial" w:cs="Arial"/>
                <w:sz w:val="24"/>
                <w:szCs w:val="24"/>
                <w:lang w:eastAsia="en-NZ"/>
              </w:rPr>
              <w:t>Dunedin City</w:t>
            </w:r>
          </w:p>
        </w:tc>
        <w:tc>
          <w:tcPr>
            <w:tcW w:w="1920" w:type="dxa"/>
            <w:noWrap/>
          </w:tcPr>
          <w:p w14:paraId="5C6E3B15" w14:textId="77777777" w:rsidR="00227939" w:rsidRPr="00854696" w:rsidRDefault="00227939" w:rsidP="008F03DF">
            <w:pPr>
              <w:spacing w:before="120" w:after="120" w:line="24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0000"/>
                <w:sz w:val="24"/>
                <w:szCs w:val="24"/>
                <w:lang w:eastAsia="en-NZ"/>
              </w:rPr>
            </w:pPr>
            <w:r w:rsidRPr="00854696">
              <w:rPr>
                <w:rFonts w:ascii="Arial" w:hAnsi="Arial" w:cs="Arial"/>
                <w:sz w:val="24"/>
                <w:szCs w:val="24"/>
              </w:rPr>
              <w:t>20.22%</w:t>
            </w:r>
          </w:p>
        </w:tc>
        <w:tc>
          <w:tcPr>
            <w:tcW w:w="2436" w:type="dxa"/>
            <w:noWrap/>
          </w:tcPr>
          <w:p w14:paraId="0BDD694D" w14:textId="77777777" w:rsidR="00227939" w:rsidRPr="00710711" w:rsidRDefault="00227939" w:rsidP="008F03DF">
            <w:pPr>
              <w:spacing w:before="120" w:after="120" w:line="240" w:lineRule="atLeas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lang w:eastAsia="en-NZ"/>
              </w:rPr>
            </w:pPr>
            <w:r w:rsidRPr="00710711">
              <w:rPr>
                <w:rFonts w:ascii="Arial" w:hAnsi="Arial" w:cs="Arial"/>
                <w:b/>
                <w:sz w:val="24"/>
                <w:szCs w:val="24"/>
              </w:rPr>
              <w:t>Auckland</w:t>
            </w:r>
          </w:p>
        </w:tc>
        <w:tc>
          <w:tcPr>
            <w:tcW w:w="2154" w:type="dxa"/>
            <w:noWrap/>
          </w:tcPr>
          <w:p w14:paraId="481D6C30" w14:textId="77777777" w:rsidR="00227939" w:rsidRPr="00854696" w:rsidRDefault="00227939" w:rsidP="008F03DF">
            <w:pPr>
              <w:spacing w:before="120" w:after="120" w:line="240" w:lineRule="atLeas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hAnsi="Arial" w:cs="Arial"/>
                <w:sz w:val="24"/>
                <w:szCs w:val="24"/>
              </w:rPr>
              <w:t>223</w:t>
            </w:r>
            <w:r w:rsidR="00854696">
              <w:rPr>
                <w:rFonts w:ascii="Arial" w:hAnsi="Arial" w:cs="Arial"/>
                <w:sz w:val="24"/>
                <w:szCs w:val="24"/>
              </w:rPr>
              <w:t>,</w:t>
            </w:r>
            <w:r w:rsidRPr="00854696">
              <w:rPr>
                <w:rFonts w:ascii="Arial" w:hAnsi="Arial" w:cs="Arial"/>
                <w:sz w:val="24"/>
                <w:szCs w:val="24"/>
              </w:rPr>
              <w:t>689</w:t>
            </w:r>
          </w:p>
        </w:tc>
      </w:tr>
      <w:tr w:rsidR="00227939" w:rsidRPr="00227939" w14:paraId="60F7A98E" w14:textId="77777777" w:rsidTr="00854696">
        <w:trPr>
          <w:trHeight w:val="600"/>
        </w:trPr>
        <w:tc>
          <w:tcPr>
            <w:cnfStyle w:val="001000000000" w:firstRow="0" w:lastRow="0" w:firstColumn="1" w:lastColumn="0" w:oddVBand="0" w:evenVBand="0" w:oddHBand="0" w:evenHBand="0" w:firstRowFirstColumn="0" w:firstRowLastColumn="0" w:lastRowFirstColumn="0" w:lastRowLastColumn="0"/>
            <w:tcW w:w="2506" w:type="dxa"/>
          </w:tcPr>
          <w:p w14:paraId="592485F4" w14:textId="77777777" w:rsidR="00227939" w:rsidRPr="00854696" w:rsidRDefault="00227939" w:rsidP="008F03DF">
            <w:pPr>
              <w:spacing w:before="120" w:after="120" w:line="240" w:lineRule="atLeast"/>
              <w:rPr>
                <w:rFonts w:ascii="Arial" w:eastAsia="Times New Roman" w:hAnsi="Arial" w:cs="Arial"/>
                <w:b w:val="0"/>
                <w:sz w:val="24"/>
                <w:szCs w:val="24"/>
                <w:lang w:eastAsia="en-NZ"/>
              </w:rPr>
            </w:pPr>
            <w:r w:rsidRPr="00854696">
              <w:rPr>
                <w:rFonts w:ascii="Arial" w:eastAsia="Times New Roman" w:hAnsi="Arial" w:cs="Arial"/>
                <w:sz w:val="24"/>
                <w:szCs w:val="24"/>
                <w:lang w:eastAsia="en-NZ"/>
              </w:rPr>
              <w:t>Wellington City</w:t>
            </w:r>
          </w:p>
        </w:tc>
        <w:tc>
          <w:tcPr>
            <w:tcW w:w="1920" w:type="dxa"/>
            <w:noWrap/>
          </w:tcPr>
          <w:p w14:paraId="6933BA34" w14:textId="77777777" w:rsidR="00227939" w:rsidRPr="00854696" w:rsidRDefault="00227939" w:rsidP="008F03DF">
            <w:pPr>
              <w:spacing w:before="120" w:after="120" w:line="24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0000"/>
                <w:sz w:val="24"/>
                <w:szCs w:val="24"/>
                <w:lang w:eastAsia="en-NZ"/>
              </w:rPr>
            </w:pPr>
            <w:r w:rsidRPr="00854696">
              <w:rPr>
                <w:rFonts w:ascii="Arial" w:hAnsi="Arial" w:cs="Arial"/>
                <w:sz w:val="24"/>
                <w:szCs w:val="24"/>
              </w:rPr>
              <w:t>17.38%</w:t>
            </w:r>
          </w:p>
        </w:tc>
        <w:tc>
          <w:tcPr>
            <w:tcW w:w="2436" w:type="dxa"/>
            <w:noWrap/>
          </w:tcPr>
          <w:p w14:paraId="007B518F" w14:textId="77777777" w:rsidR="00227939" w:rsidRPr="00710711" w:rsidRDefault="00227939" w:rsidP="008F03DF">
            <w:pPr>
              <w:spacing w:before="120" w:after="120" w:line="240" w:lineRule="atLeas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lang w:eastAsia="en-NZ"/>
              </w:rPr>
            </w:pPr>
            <w:r w:rsidRPr="00710711">
              <w:rPr>
                <w:rFonts w:ascii="Arial" w:hAnsi="Arial" w:cs="Arial"/>
                <w:b/>
                <w:sz w:val="24"/>
                <w:szCs w:val="24"/>
              </w:rPr>
              <w:t>Christchurch City</w:t>
            </w:r>
          </w:p>
        </w:tc>
        <w:tc>
          <w:tcPr>
            <w:tcW w:w="2154" w:type="dxa"/>
            <w:noWrap/>
          </w:tcPr>
          <w:p w14:paraId="15F4874F" w14:textId="77777777" w:rsidR="00227939" w:rsidRPr="00854696" w:rsidRDefault="00227939" w:rsidP="008F03DF">
            <w:pPr>
              <w:spacing w:before="120" w:after="120" w:line="240" w:lineRule="atLeas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hAnsi="Arial" w:cs="Arial"/>
                <w:sz w:val="24"/>
                <w:szCs w:val="24"/>
              </w:rPr>
              <w:t>52</w:t>
            </w:r>
            <w:r w:rsidR="00854696">
              <w:rPr>
                <w:rFonts w:ascii="Arial" w:hAnsi="Arial" w:cs="Arial"/>
                <w:sz w:val="24"/>
                <w:szCs w:val="24"/>
              </w:rPr>
              <w:t>,</w:t>
            </w:r>
            <w:r w:rsidRPr="00854696">
              <w:rPr>
                <w:rFonts w:ascii="Arial" w:hAnsi="Arial" w:cs="Arial"/>
                <w:sz w:val="24"/>
                <w:szCs w:val="24"/>
              </w:rPr>
              <w:t>146</w:t>
            </w:r>
          </w:p>
        </w:tc>
      </w:tr>
      <w:tr w:rsidR="00227939" w:rsidRPr="00227939" w14:paraId="6A262D41" w14:textId="77777777" w:rsidTr="00854696">
        <w:trPr>
          <w:trHeight w:val="400"/>
        </w:trPr>
        <w:tc>
          <w:tcPr>
            <w:cnfStyle w:val="001000000000" w:firstRow="0" w:lastRow="0" w:firstColumn="1" w:lastColumn="0" w:oddVBand="0" w:evenVBand="0" w:oddHBand="0" w:evenHBand="0" w:firstRowFirstColumn="0" w:firstRowLastColumn="0" w:lastRowFirstColumn="0" w:lastRowLastColumn="0"/>
            <w:tcW w:w="2506" w:type="dxa"/>
          </w:tcPr>
          <w:p w14:paraId="18309959" w14:textId="77777777" w:rsidR="00227939" w:rsidRPr="00854696" w:rsidRDefault="00227939" w:rsidP="008F03DF">
            <w:pPr>
              <w:spacing w:before="120" w:after="120" w:line="240" w:lineRule="atLeast"/>
              <w:rPr>
                <w:rFonts w:ascii="Arial" w:eastAsia="Times New Roman" w:hAnsi="Arial" w:cs="Arial"/>
                <w:b w:val="0"/>
                <w:sz w:val="24"/>
                <w:szCs w:val="24"/>
                <w:lang w:eastAsia="en-NZ"/>
              </w:rPr>
            </w:pPr>
            <w:r w:rsidRPr="00854696">
              <w:rPr>
                <w:rFonts w:ascii="Arial" w:eastAsia="Times New Roman" w:hAnsi="Arial" w:cs="Arial"/>
                <w:sz w:val="24"/>
                <w:szCs w:val="24"/>
                <w:lang w:eastAsia="en-NZ"/>
              </w:rPr>
              <w:t>Palmerston North City</w:t>
            </w:r>
          </w:p>
        </w:tc>
        <w:tc>
          <w:tcPr>
            <w:tcW w:w="1920" w:type="dxa"/>
            <w:noWrap/>
          </w:tcPr>
          <w:p w14:paraId="1B77A494" w14:textId="77777777" w:rsidR="00227939" w:rsidRPr="00854696" w:rsidRDefault="00227939" w:rsidP="008F03DF">
            <w:pPr>
              <w:spacing w:before="120" w:after="120" w:line="24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0000"/>
                <w:sz w:val="24"/>
                <w:szCs w:val="24"/>
                <w:lang w:eastAsia="en-NZ"/>
              </w:rPr>
            </w:pPr>
            <w:r w:rsidRPr="00854696">
              <w:rPr>
                <w:rFonts w:ascii="Arial" w:hAnsi="Arial" w:cs="Arial"/>
                <w:sz w:val="24"/>
                <w:szCs w:val="24"/>
              </w:rPr>
              <w:t>16.91%</w:t>
            </w:r>
          </w:p>
        </w:tc>
        <w:tc>
          <w:tcPr>
            <w:tcW w:w="2436" w:type="dxa"/>
            <w:noWrap/>
          </w:tcPr>
          <w:p w14:paraId="57F192E9" w14:textId="77777777" w:rsidR="00227939" w:rsidRPr="00710711" w:rsidRDefault="00227939" w:rsidP="008F03DF">
            <w:pPr>
              <w:spacing w:before="120" w:after="120" w:line="240" w:lineRule="atLeas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lang w:eastAsia="en-NZ"/>
              </w:rPr>
            </w:pPr>
            <w:r w:rsidRPr="00710711">
              <w:rPr>
                <w:rFonts w:ascii="Arial" w:hAnsi="Arial" w:cs="Arial"/>
                <w:b/>
                <w:sz w:val="24"/>
                <w:szCs w:val="24"/>
              </w:rPr>
              <w:t>Wellington City</w:t>
            </w:r>
          </w:p>
        </w:tc>
        <w:tc>
          <w:tcPr>
            <w:tcW w:w="2154" w:type="dxa"/>
            <w:noWrap/>
          </w:tcPr>
          <w:p w14:paraId="699DE9FB" w14:textId="77777777" w:rsidR="00227939" w:rsidRPr="00854696" w:rsidRDefault="00227939" w:rsidP="008F03DF">
            <w:pPr>
              <w:spacing w:before="120" w:after="120" w:line="240" w:lineRule="atLeas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hAnsi="Arial" w:cs="Arial"/>
                <w:sz w:val="24"/>
                <w:szCs w:val="24"/>
              </w:rPr>
              <w:t>35</w:t>
            </w:r>
            <w:r w:rsidR="00854696">
              <w:rPr>
                <w:rFonts w:ascii="Arial" w:hAnsi="Arial" w:cs="Arial"/>
                <w:sz w:val="24"/>
                <w:szCs w:val="24"/>
              </w:rPr>
              <w:t>,</w:t>
            </w:r>
            <w:r w:rsidRPr="00854696">
              <w:rPr>
                <w:rFonts w:ascii="Arial" w:hAnsi="Arial" w:cs="Arial"/>
                <w:sz w:val="24"/>
                <w:szCs w:val="24"/>
              </w:rPr>
              <w:t>226</w:t>
            </w:r>
          </w:p>
        </w:tc>
      </w:tr>
      <w:tr w:rsidR="00227939" w:rsidRPr="00227939" w14:paraId="3D2C6B0B" w14:textId="77777777" w:rsidTr="00854696">
        <w:trPr>
          <w:trHeight w:val="260"/>
        </w:trPr>
        <w:tc>
          <w:tcPr>
            <w:cnfStyle w:val="001000000000" w:firstRow="0" w:lastRow="0" w:firstColumn="1" w:lastColumn="0" w:oddVBand="0" w:evenVBand="0" w:oddHBand="0" w:evenHBand="0" w:firstRowFirstColumn="0" w:firstRowLastColumn="0" w:lastRowFirstColumn="0" w:lastRowLastColumn="0"/>
            <w:tcW w:w="2506" w:type="dxa"/>
          </w:tcPr>
          <w:p w14:paraId="55A3061B" w14:textId="77777777" w:rsidR="00227939" w:rsidRPr="00854696" w:rsidRDefault="00227939" w:rsidP="008F03DF">
            <w:pPr>
              <w:spacing w:before="120" w:after="120" w:line="240" w:lineRule="atLeast"/>
              <w:rPr>
                <w:rFonts w:ascii="Arial" w:eastAsia="Times New Roman" w:hAnsi="Arial" w:cs="Arial"/>
                <w:b w:val="0"/>
                <w:sz w:val="24"/>
                <w:szCs w:val="24"/>
                <w:lang w:eastAsia="en-NZ"/>
              </w:rPr>
            </w:pPr>
            <w:r w:rsidRPr="00854696">
              <w:rPr>
                <w:rFonts w:ascii="Arial" w:eastAsia="Times New Roman" w:hAnsi="Arial" w:cs="Arial"/>
                <w:sz w:val="24"/>
                <w:szCs w:val="24"/>
                <w:lang w:eastAsia="en-NZ"/>
              </w:rPr>
              <w:t>Hamilton City</w:t>
            </w:r>
          </w:p>
        </w:tc>
        <w:tc>
          <w:tcPr>
            <w:tcW w:w="1920" w:type="dxa"/>
            <w:noWrap/>
          </w:tcPr>
          <w:p w14:paraId="6A2E1E6F" w14:textId="77777777" w:rsidR="00227939" w:rsidRPr="00854696" w:rsidRDefault="00227939" w:rsidP="008F03DF">
            <w:pPr>
              <w:spacing w:before="120" w:after="120" w:line="24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0000"/>
                <w:sz w:val="24"/>
                <w:szCs w:val="24"/>
                <w:lang w:eastAsia="en-NZ"/>
              </w:rPr>
            </w:pPr>
            <w:r w:rsidRPr="00854696">
              <w:rPr>
                <w:rFonts w:ascii="Arial" w:hAnsi="Arial" w:cs="Arial"/>
                <w:sz w:val="24"/>
                <w:szCs w:val="24"/>
              </w:rPr>
              <w:t>16.26%</w:t>
            </w:r>
          </w:p>
        </w:tc>
        <w:tc>
          <w:tcPr>
            <w:tcW w:w="2436" w:type="dxa"/>
            <w:noWrap/>
          </w:tcPr>
          <w:p w14:paraId="0652865C" w14:textId="77777777" w:rsidR="00227939" w:rsidRPr="00710711" w:rsidRDefault="00227939" w:rsidP="008F03DF">
            <w:pPr>
              <w:spacing w:before="120" w:after="120" w:line="240" w:lineRule="atLeas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lang w:eastAsia="en-NZ"/>
              </w:rPr>
            </w:pPr>
            <w:r w:rsidRPr="00710711">
              <w:rPr>
                <w:rFonts w:ascii="Arial" w:hAnsi="Arial" w:cs="Arial"/>
                <w:b/>
                <w:sz w:val="24"/>
                <w:szCs w:val="24"/>
              </w:rPr>
              <w:t>Hamilton City</w:t>
            </w:r>
          </w:p>
        </w:tc>
        <w:tc>
          <w:tcPr>
            <w:tcW w:w="2154" w:type="dxa"/>
            <w:noWrap/>
          </w:tcPr>
          <w:p w14:paraId="26F91878" w14:textId="77777777" w:rsidR="00227939" w:rsidRPr="00854696" w:rsidRDefault="00227939" w:rsidP="008F03DF">
            <w:pPr>
              <w:spacing w:before="120" w:after="120" w:line="240" w:lineRule="atLeas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hAnsi="Arial" w:cs="Arial"/>
                <w:sz w:val="24"/>
                <w:szCs w:val="24"/>
              </w:rPr>
              <w:t>26</w:t>
            </w:r>
            <w:r w:rsidR="00854696">
              <w:rPr>
                <w:rFonts w:ascii="Arial" w:hAnsi="Arial" w:cs="Arial"/>
                <w:sz w:val="24"/>
                <w:szCs w:val="24"/>
              </w:rPr>
              <w:t>,</w:t>
            </w:r>
            <w:r w:rsidRPr="00854696">
              <w:rPr>
                <w:rFonts w:ascii="Arial" w:hAnsi="Arial" w:cs="Arial"/>
                <w:sz w:val="24"/>
                <w:szCs w:val="24"/>
              </w:rPr>
              <w:t>169</w:t>
            </w:r>
          </w:p>
        </w:tc>
      </w:tr>
      <w:tr w:rsidR="00227939" w:rsidRPr="00227939" w14:paraId="151D467F" w14:textId="77777777" w:rsidTr="00854696">
        <w:trPr>
          <w:trHeight w:val="400"/>
        </w:trPr>
        <w:tc>
          <w:tcPr>
            <w:cnfStyle w:val="001000000000" w:firstRow="0" w:lastRow="0" w:firstColumn="1" w:lastColumn="0" w:oddVBand="0" w:evenVBand="0" w:oddHBand="0" w:evenHBand="0" w:firstRowFirstColumn="0" w:firstRowLastColumn="0" w:lastRowFirstColumn="0" w:lastRowLastColumn="0"/>
            <w:tcW w:w="2506" w:type="dxa"/>
          </w:tcPr>
          <w:p w14:paraId="6C13485B" w14:textId="77777777" w:rsidR="00227939" w:rsidRPr="00854696" w:rsidRDefault="00227939" w:rsidP="008F03DF">
            <w:pPr>
              <w:spacing w:before="120" w:after="120" w:line="240" w:lineRule="atLeast"/>
              <w:rPr>
                <w:rFonts w:ascii="Arial" w:eastAsia="Times New Roman" w:hAnsi="Arial" w:cs="Arial"/>
                <w:b w:val="0"/>
                <w:sz w:val="24"/>
                <w:szCs w:val="24"/>
                <w:lang w:eastAsia="en-NZ"/>
              </w:rPr>
            </w:pPr>
            <w:r w:rsidRPr="00854696">
              <w:rPr>
                <w:rFonts w:ascii="Arial" w:eastAsia="Times New Roman" w:hAnsi="Arial" w:cs="Arial"/>
                <w:sz w:val="24"/>
                <w:szCs w:val="24"/>
                <w:lang w:eastAsia="en-NZ"/>
              </w:rPr>
              <w:t>Auckland</w:t>
            </w:r>
          </w:p>
        </w:tc>
        <w:tc>
          <w:tcPr>
            <w:tcW w:w="1920" w:type="dxa"/>
            <w:noWrap/>
          </w:tcPr>
          <w:p w14:paraId="3ACBB036" w14:textId="77777777" w:rsidR="00227939" w:rsidRPr="00854696" w:rsidRDefault="00227939" w:rsidP="008F03DF">
            <w:pPr>
              <w:spacing w:before="120" w:after="120" w:line="24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0000"/>
                <w:sz w:val="24"/>
                <w:szCs w:val="24"/>
                <w:lang w:eastAsia="en-NZ"/>
              </w:rPr>
            </w:pPr>
            <w:r w:rsidRPr="00854696">
              <w:rPr>
                <w:rFonts w:ascii="Arial" w:hAnsi="Arial" w:cs="Arial"/>
                <w:sz w:val="24"/>
                <w:szCs w:val="24"/>
              </w:rPr>
              <w:t>14.23%</w:t>
            </w:r>
          </w:p>
        </w:tc>
        <w:tc>
          <w:tcPr>
            <w:tcW w:w="2436" w:type="dxa"/>
            <w:noWrap/>
          </w:tcPr>
          <w:p w14:paraId="3333E9D9" w14:textId="77777777" w:rsidR="00227939" w:rsidRPr="00710711" w:rsidRDefault="00227939" w:rsidP="008F03DF">
            <w:pPr>
              <w:spacing w:before="120" w:after="120" w:line="240" w:lineRule="atLeas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lang w:eastAsia="en-NZ"/>
              </w:rPr>
            </w:pPr>
            <w:r w:rsidRPr="00710711">
              <w:rPr>
                <w:rFonts w:ascii="Arial" w:hAnsi="Arial" w:cs="Arial"/>
                <w:b/>
                <w:sz w:val="24"/>
                <w:szCs w:val="24"/>
              </w:rPr>
              <w:t>Dunedin City</w:t>
            </w:r>
          </w:p>
        </w:tc>
        <w:tc>
          <w:tcPr>
            <w:tcW w:w="2154" w:type="dxa"/>
            <w:noWrap/>
          </w:tcPr>
          <w:p w14:paraId="699F08B0" w14:textId="77777777" w:rsidR="00227939" w:rsidRPr="00854696" w:rsidRDefault="00227939" w:rsidP="008F03DF">
            <w:pPr>
              <w:spacing w:before="120" w:after="120" w:line="240" w:lineRule="atLeas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hAnsi="Arial" w:cs="Arial"/>
                <w:sz w:val="24"/>
                <w:szCs w:val="24"/>
              </w:rPr>
              <w:t>25</w:t>
            </w:r>
            <w:r w:rsidR="00854696">
              <w:rPr>
                <w:rFonts w:ascii="Arial" w:hAnsi="Arial" w:cs="Arial"/>
                <w:sz w:val="24"/>
                <w:szCs w:val="24"/>
              </w:rPr>
              <w:t>,</w:t>
            </w:r>
            <w:r w:rsidRPr="00854696">
              <w:rPr>
                <w:rFonts w:ascii="Arial" w:hAnsi="Arial" w:cs="Arial"/>
                <w:sz w:val="24"/>
                <w:szCs w:val="24"/>
              </w:rPr>
              <w:t>533</w:t>
            </w:r>
          </w:p>
        </w:tc>
      </w:tr>
      <w:tr w:rsidR="00227939" w:rsidRPr="00227939" w14:paraId="5E206E77" w14:textId="77777777" w:rsidTr="00854696">
        <w:trPr>
          <w:trHeight w:val="800"/>
        </w:trPr>
        <w:tc>
          <w:tcPr>
            <w:cnfStyle w:val="001000000000" w:firstRow="0" w:lastRow="0" w:firstColumn="1" w:lastColumn="0" w:oddVBand="0" w:evenVBand="0" w:oddHBand="0" w:evenHBand="0" w:firstRowFirstColumn="0" w:firstRowLastColumn="0" w:lastRowFirstColumn="0" w:lastRowLastColumn="0"/>
            <w:tcW w:w="2506" w:type="dxa"/>
          </w:tcPr>
          <w:p w14:paraId="1F262199" w14:textId="77777777" w:rsidR="00227939" w:rsidRPr="00854696" w:rsidRDefault="00227939" w:rsidP="008F03DF">
            <w:pPr>
              <w:spacing w:before="120" w:after="120" w:line="240" w:lineRule="atLeast"/>
              <w:rPr>
                <w:rFonts w:ascii="Arial" w:eastAsia="Times New Roman" w:hAnsi="Arial" w:cs="Arial"/>
                <w:b w:val="0"/>
                <w:sz w:val="24"/>
                <w:szCs w:val="24"/>
                <w:lang w:eastAsia="en-NZ"/>
              </w:rPr>
            </w:pPr>
            <w:r w:rsidRPr="00854696">
              <w:rPr>
                <w:rFonts w:ascii="Arial" w:eastAsia="Times New Roman" w:hAnsi="Arial" w:cs="Arial"/>
                <w:sz w:val="24"/>
                <w:szCs w:val="24"/>
                <w:lang w:eastAsia="en-NZ"/>
              </w:rPr>
              <w:t>Christchurch City</w:t>
            </w:r>
          </w:p>
        </w:tc>
        <w:tc>
          <w:tcPr>
            <w:tcW w:w="1920" w:type="dxa"/>
            <w:noWrap/>
          </w:tcPr>
          <w:p w14:paraId="14E3AB8C" w14:textId="77777777" w:rsidR="00227939" w:rsidRPr="00854696" w:rsidRDefault="00227939" w:rsidP="008F03DF">
            <w:pPr>
              <w:spacing w:before="120" w:after="120" w:line="24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0000"/>
                <w:sz w:val="24"/>
                <w:szCs w:val="24"/>
                <w:lang w:eastAsia="en-NZ"/>
              </w:rPr>
            </w:pPr>
            <w:r w:rsidRPr="00854696">
              <w:rPr>
                <w:rFonts w:ascii="Arial" w:hAnsi="Arial" w:cs="Arial"/>
                <w:sz w:val="24"/>
                <w:szCs w:val="24"/>
              </w:rPr>
              <w:t>14.13%</w:t>
            </w:r>
          </w:p>
        </w:tc>
        <w:tc>
          <w:tcPr>
            <w:tcW w:w="2436" w:type="dxa"/>
            <w:noWrap/>
          </w:tcPr>
          <w:p w14:paraId="7D38DFD7" w14:textId="77777777" w:rsidR="00227939" w:rsidRPr="00710711" w:rsidRDefault="00227939" w:rsidP="008F03DF">
            <w:pPr>
              <w:spacing w:before="120" w:after="120" w:line="240" w:lineRule="atLeas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lang w:eastAsia="en-NZ"/>
              </w:rPr>
            </w:pPr>
            <w:r w:rsidRPr="00710711">
              <w:rPr>
                <w:rFonts w:ascii="Arial" w:hAnsi="Arial" w:cs="Arial"/>
                <w:b/>
                <w:sz w:val="24"/>
                <w:szCs w:val="24"/>
              </w:rPr>
              <w:t>Tauranga City</w:t>
            </w:r>
          </w:p>
        </w:tc>
        <w:tc>
          <w:tcPr>
            <w:tcW w:w="2154" w:type="dxa"/>
            <w:noWrap/>
          </w:tcPr>
          <w:p w14:paraId="09F02DF9" w14:textId="77777777" w:rsidR="00227939" w:rsidRPr="00854696" w:rsidRDefault="00227939" w:rsidP="008F03DF">
            <w:pPr>
              <w:spacing w:before="120" w:after="120" w:line="240" w:lineRule="atLeas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hAnsi="Arial" w:cs="Arial"/>
                <w:sz w:val="24"/>
                <w:szCs w:val="24"/>
              </w:rPr>
              <w:t>14</w:t>
            </w:r>
            <w:r w:rsidR="00854696">
              <w:rPr>
                <w:rFonts w:ascii="Arial" w:hAnsi="Arial" w:cs="Arial"/>
                <w:sz w:val="24"/>
                <w:szCs w:val="24"/>
              </w:rPr>
              <w:t>,</w:t>
            </w:r>
            <w:r w:rsidRPr="00854696">
              <w:rPr>
                <w:rFonts w:ascii="Arial" w:hAnsi="Arial" w:cs="Arial"/>
                <w:sz w:val="24"/>
                <w:szCs w:val="24"/>
              </w:rPr>
              <w:t>658</w:t>
            </w:r>
          </w:p>
        </w:tc>
      </w:tr>
      <w:tr w:rsidR="00227939" w:rsidRPr="00227939" w14:paraId="4C826A1D" w14:textId="77777777" w:rsidTr="00854696">
        <w:trPr>
          <w:trHeight w:val="400"/>
        </w:trPr>
        <w:tc>
          <w:tcPr>
            <w:cnfStyle w:val="001000000000" w:firstRow="0" w:lastRow="0" w:firstColumn="1" w:lastColumn="0" w:oddVBand="0" w:evenVBand="0" w:oddHBand="0" w:evenHBand="0" w:firstRowFirstColumn="0" w:firstRowLastColumn="0" w:lastRowFirstColumn="0" w:lastRowLastColumn="0"/>
            <w:tcW w:w="2506" w:type="dxa"/>
            <w:hideMark/>
          </w:tcPr>
          <w:p w14:paraId="1D3AB03C" w14:textId="77777777" w:rsidR="00227939" w:rsidRPr="00854696" w:rsidRDefault="00227939" w:rsidP="008F03DF">
            <w:pPr>
              <w:spacing w:before="120" w:after="120" w:line="240" w:lineRule="atLeast"/>
              <w:rPr>
                <w:rFonts w:ascii="Arial" w:eastAsia="Times New Roman" w:hAnsi="Arial" w:cs="Arial"/>
                <w:b w:val="0"/>
                <w:sz w:val="24"/>
                <w:szCs w:val="24"/>
                <w:lang w:eastAsia="en-NZ"/>
              </w:rPr>
            </w:pPr>
            <w:r w:rsidRPr="00854696">
              <w:rPr>
                <w:rFonts w:ascii="Arial" w:eastAsia="Times New Roman" w:hAnsi="Arial" w:cs="Arial"/>
                <w:sz w:val="24"/>
                <w:szCs w:val="24"/>
                <w:lang w:eastAsia="en-NZ"/>
              </w:rPr>
              <w:t>Porirua City</w:t>
            </w:r>
          </w:p>
        </w:tc>
        <w:tc>
          <w:tcPr>
            <w:tcW w:w="1920" w:type="dxa"/>
            <w:noWrap/>
          </w:tcPr>
          <w:p w14:paraId="6F87C1F0" w14:textId="77777777" w:rsidR="00227939" w:rsidRPr="00854696" w:rsidRDefault="00227939" w:rsidP="008F03DF">
            <w:pPr>
              <w:spacing w:before="120" w:after="120" w:line="24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0000"/>
                <w:sz w:val="24"/>
                <w:szCs w:val="24"/>
                <w:lang w:eastAsia="en-NZ"/>
              </w:rPr>
            </w:pPr>
            <w:r w:rsidRPr="00854696">
              <w:rPr>
                <w:rFonts w:ascii="Arial" w:hAnsi="Arial" w:cs="Arial"/>
                <w:sz w:val="24"/>
                <w:szCs w:val="24"/>
              </w:rPr>
              <w:t>13.02%</w:t>
            </w:r>
          </w:p>
        </w:tc>
        <w:tc>
          <w:tcPr>
            <w:tcW w:w="2436" w:type="dxa"/>
            <w:noWrap/>
          </w:tcPr>
          <w:p w14:paraId="462813B7" w14:textId="77777777" w:rsidR="00227939" w:rsidRPr="00710711" w:rsidRDefault="00227939" w:rsidP="008F03DF">
            <w:pPr>
              <w:spacing w:before="120" w:after="120" w:line="240" w:lineRule="atLeas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lang w:eastAsia="en-NZ"/>
              </w:rPr>
            </w:pPr>
            <w:r w:rsidRPr="00710711">
              <w:rPr>
                <w:rFonts w:ascii="Arial" w:hAnsi="Arial" w:cs="Arial"/>
                <w:b/>
                <w:sz w:val="24"/>
                <w:szCs w:val="24"/>
              </w:rPr>
              <w:t>Palmerston North City</w:t>
            </w:r>
          </w:p>
        </w:tc>
        <w:tc>
          <w:tcPr>
            <w:tcW w:w="2154" w:type="dxa"/>
            <w:noWrap/>
          </w:tcPr>
          <w:p w14:paraId="0A893351" w14:textId="77777777" w:rsidR="00227939" w:rsidRPr="00854696" w:rsidRDefault="00227939" w:rsidP="008F03DF">
            <w:pPr>
              <w:spacing w:before="120" w:after="120" w:line="240" w:lineRule="atLeas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hAnsi="Arial" w:cs="Arial"/>
                <w:sz w:val="24"/>
                <w:szCs w:val="24"/>
              </w:rPr>
              <w:t>14</w:t>
            </w:r>
            <w:r w:rsidR="00854696">
              <w:rPr>
                <w:rFonts w:ascii="Arial" w:hAnsi="Arial" w:cs="Arial"/>
                <w:sz w:val="24"/>
                <w:szCs w:val="24"/>
              </w:rPr>
              <w:t>,</w:t>
            </w:r>
            <w:r w:rsidRPr="00854696">
              <w:rPr>
                <w:rFonts w:ascii="Arial" w:hAnsi="Arial" w:cs="Arial"/>
                <w:sz w:val="24"/>
                <w:szCs w:val="24"/>
              </w:rPr>
              <w:t>316</w:t>
            </w:r>
          </w:p>
        </w:tc>
      </w:tr>
      <w:tr w:rsidR="00227939" w:rsidRPr="00227939" w14:paraId="0224017C" w14:textId="77777777" w:rsidTr="00854696">
        <w:trPr>
          <w:trHeight w:val="400"/>
        </w:trPr>
        <w:tc>
          <w:tcPr>
            <w:cnfStyle w:val="001000000000" w:firstRow="0" w:lastRow="0" w:firstColumn="1" w:lastColumn="0" w:oddVBand="0" w:evenVBand="0" w:oddHBand="0" w:evenHBand="0" w:firstRowFirstColumn="0" w:firstRowLastColumn="0" w:lastRowFirstColumn="0" w:lastRowLastColumn="0"/>
            <w:tcW w:w="2506" w:type="dxa"/>
            <w:hideMark/>
          </w:tcPr>
          <w:p w14:paraId="422DC383" w14:textId="77777777" w:rsidR="00227939" w:rsidRPr="00854696" w:rsidRDefault="00227939" w:rsidP="008F03DF">
            <w:pPr>
              <w:spacing w:before="120" w:after="120" w:line="240" w:lineRule="atLeast"/>
              <w:rPr>
                <w:rFonts w:ascii="Arial" w:eastAsia="Times New Roman" w:hAnsi="Arial" w:cs="Arial"/>
                <w:b w:val="0"/>
                <w:sz w:val="24"/>
                <w:szCs w:val="24"/>
                <w:lang w:eastAsia="en-NZ"/>
              </w:rPr>
            </w:pPr>
            <w:r w:rsidRPr="00854696">
              <w:rPr>
                <w:rFonts w:ascii="Arial" w:eastAsia="Times New Roman" w:hAnsi="Arial" w:cs="Arial"/>
                <w:sz w:val="24"/>
                <w:szCs w:val="24"/>
                <w:lang w:eastAsia="en-NZ"/>
              </w:rPr>
              <w:t>Rotorua District</w:t>
            </w:r>
          </w:p>
        </w:tc>
        <w:tc>
          <w:tcPr>
            <w:tcW w:w="1920" w:type="dxa"/>
            <w:noWrap/>
          </w:tcPr>
          <w:p w14:paraId="70B23E6C" w14:textId="77777777" w:rsidR="00227939" w:rsidRPr="00854696" w:rsidRDefault="00227939" w:rsidP="008F03DF">
            <w:pPr>
              <w:spacing w:before="120" w:after="120" w:line="24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0000"/>
                <w:sz w:val="24"/>
                <w:szCs w:val="24"/>
                <w:lang w:eastAsia="en-NZ"/>
              </w:rPr>
            </w:pPr>
            <w:r w:rsidRPr="00854696">
              <w:rPr>
                <w:rFonts w:ascii="Arial" w:hAnsi="Arial" w:cs="Arial"/>
                <w:sz w:val="24"/>
                <w:szCs w:val="24"/>
              </w:rPr>
              <w:t>12.68%</w:t>
            </w:r>
          </w:p>
        </w:tc>
        <w:tc>
          <w:tcPr>
            <w:tcW w:w="2436" w:type="dxa"/>
            <w:noWrap/>
          </w:tcPr>
          <w:p w14:paraId="01119A2B" w14:textId="77777777" w:rsidR="00227939" w:rsidRPr="00710711" w:rsidRDefault="00227939" w:rsidP="008F03DF">
            <w:pPr>
              <w:spacing w:before="120" w:after="120" w:line="240" w:lineRule="atLeas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lang w:eastAsia="en-NZ"/>
              </w:rPr>
            </w:pPr>
            <w:r w:rsidRPr="00710711">
              <w:rPr>
                <w:rFonts w:ascii="Arial" w:hAnsi="Arial" w:cs="Arial"/>
                <w:b/>
                <w:sz w:val="24"/>
                <w:szCs w:val="24"/>
              </w:rPr>
              <w:t>Lower Hutt City</w:t>
            </w:r>
          </w:p>
        </w:tc>
        <w:tc>
          <w:tcPr>
            <w:tcW w:w="2154" w:type="dxa"/>
            <w:noWrap/>
          </w:tcPr>
          <w:p w14:paraId="1B540A83" w14:textId="77777777" w:rsidR="00227939" w:rsidRPr="00854696" w:rsidRDefault="00227939" w:rsidP="008F03DF">
            <w:pPr>
              <w:spacing w:before="120" w:after="120" w:line="240" w:lineRule="atLeas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hAnsi="Arial" w:cs="Arial"/>
                <w:sz w:val="24"/>
                <w:szCs w:val="24"/>
              </w:rPr>
              <w:t>13</w:t>
            </w:r>
            <w:r w:rsidR="00854696">
              <w:rPr>
                <w:rFonts w:ascii="Arial" w:hAnsi="Arial" w:cs="Arial"/>
                <w:sz w:val="24"/>
                <w:szCs w:val="24"/>
              </w:rPr>
              <w:t>,</w:t>
            </w:r>
            <w:r w:rsidRPr="00854696">
              <w:rPr>
                <w:rFonts w:ascii="Arial" w:hAnsi="Arial" w:cs="Arial"/>
                <w:sz w:val="24"/>
                <w:szCs w:val="24"/>
              </w:rPr>
              <w:t>038</w:t>
            </w:r>
          </w:p>
        </w:tc>
      </w:tr>
      <w:tr w:rsidR="00227939" w:rsidRPr="00227939" w14:paraId="50EB6A5E" w14:textId="77777777" w:rsidTr="00854696">
        <w:trPr>
          <w:trHeight w:val="400"/>
        </w:trPr>
        <w:tc>
          <w:tcPr>
            <w:cnfStyle w:val="001000000000" w:firstRow="0" w:lastRow="0" w:firstColumn="1" w:lastColumn="0" w:oddVBand="0" w:evenVBand="0" w:oddHBand="0" w:evenHBand="0" w:firstRowFirstColumn="0" w:firstRowLastColumn="0" w:lastRowFirstColumn="0" w:lastRowLastColumn="0"/>
            <w:tcW w:w="2506" w:type="dxa"/>
            <w:hideMark/>
          </w:tcPr>
          <w:p w14:paraId="3A59B260" w14:textId="77777777" w:rsidR="00227939" w:rsidRPr="00854696" w:rsidRDefault="00227939" w:rsidP="008F03DF">
            <w:pPr>
              <w:spacing w:before="120" w:after="120" w:line="240" w:lineRule="atLeast"/>
              <w:rPr>
                <w:rFonts w:ascii="Arial" w:eastAsia="Times New Roman" w:hAnsi="Arial" w:cs="Arial"/>
                <w:b w:val="0"/>
                <w:sz w:val="24"/>
                <w:szCs w:val="24"/>
                <w:lang w:eastAsia="en-NZ"/>
              </w:rPr>
            </w:pPr>
            <w:r w:rsidRPr="00854696">
              <w:rPr>
                <w:rFonts w:ascii="Arial" w:eastAsia="Times New Roman" w:hAnsi="Arial" w:cs="Arial"/>
                <w:sz w:val="24"/>
                <w:szCs w:val="24"/>
                <w:lang w:eastAsia="en-NZ"/>
              </w:rPr>
              <w:t>Lower Hutt City</w:t>
            </w:r>
          </w:p>
        </w:tc>
        <w:tc>
          <w:tcPr>
            <w:tcW w:w="1920" w:type="dxa"/>
            <w:noWrap/>
          </w:tcPr>
          <w:p w14:paraId="1E1CD12D" w14:textId="77777777" w:rsidR="00227939" w:rsidRPr="00854696" w:rsidRDefault="00227939" w:rsidP="008F03DF">
            <w:pPr>
              <w:spacing w:before="120" w:after="120" w:line="24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0000"/>
                <w:sz w:val="24"/>
                <w:szCs w:val="24"/>
                <w:lang w:eastAsia="en-NZ"/>
              </w:rPr>
            </w:pPr>
            <w:r w:rsidRPr="00854696">
              <w:rPr>
                <w:rFonts w:ascii="Arial" w:hAnsi="Arial" w:cs="Arial"/>
                <w:sz w:val="24"/>
                <w:szCs w:val="24"/>
              </w:rPr>
              <w:t>12.47%</w:t>
            </w:r>
          </w:p>
        </w:tc>
        <w:tc>
          <w:tcPr>
            <w:tcW w:w="2436" w:type="dxa"/>
            <w:noWrap/>
          </w:tcPr>
          <w:p w14:paraId="5291784C" w14:textId="77777777" w:rsidR="00227939" w:rsidRPr="00710711" w:rsidRDefault="00227939" w:rsidP="008F03DF">
            <w:pPr>
              <w:spacing w:before="120" w:after="120" w:line="240" w:lineRule="atLeas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lang w:eastAsia="en-NZ"/>
              </w:rPr>
            </w:pPr>
            <w:r w:rsidRPr="00710711">
              <w:rPr>
                <w:rFonts w:ascii="Arial" w:hAnsi="Arial" w:cs="Arial"/>
                <w:b/>
                <w:sz w:val="24"/>
                <w:szCs w:val="24"/>
              </w:rPr>
              <w:t>Hastings District</w:t>
            </w:r>
          </w:p>
        </w:tc>
        <w:tc>
          <w:tcPr>
            <w:tcW w:w="2154" w:type="dxa"/>
            <w:noWrap/>
          </w:tcPr>
          <w:p w14:paraId="31C0EA5B" w14:textId="77777777" w:rsidR="00227939" w:rsidRPr="00854696" w:rsidRDefault="00227939" w:rsidP="008F03DF">
            <w:pPr>
              <w:spacing w:before="120" w:after="120" w:line="240" w:lineRule="atLeas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hAnsi="Arial" w:cs="Arial"/>
                <w:sz w:val="24"/>
                <w:szCs w:val="24"/>
              </w:rPr>
              <w:t>9</w:t>
            </w:r>
            <w:r w:rsidR="00854696">
              <w:rPr>
                <w:rFonts w:ascii="Arial" w:hAnsi="Arial" w:cs="Arial"/>
                <w:sz w:val="24"/>
                <w:szCs w:val="24"/>
              </w:rPr>
              <w:t>,</w:t>
            </w:r>
            <w:r w:rsidRPr="00854696">
              <w:rPr>
                <w:rFonts w:ascii="Arial" w:hAnsi="Arial" w:cs="Arial"/>
                <w:sz w:val="24"/>
                <w:szCs w:val="24"/>
              </w:rPr>
              <w:t>876</w:t>
            </w:r>
          </w:p>
        </w:tc>
      </w:tr>
      <w:tr w:rsidR="00227939" w:rsidRPr="00227939" w14:paraId="4FB82576" w14:textId="77777777" w:rsidTr="00854696">
        <w:trPr>
          <w:trHeight w:val="400"/>
        </w:trPr>
        <w:tc>
          <w:tcPr>
            <w:cnfStyle w:val="001000000000" w:firstRow="0" w:lastRow="0" w:firstColumn="1" w:lastColumn="0" w:oddVBand="0" w:evenVBand="0" w:oddHBand="0" w:evenHBand="0" w:firstRowFirstColumn="0" w:firstRowLastColumn="0" w:lastRowFirstColumn="0" w:lastRowLastColumn="0"/>
            <w:tcW w:w="2506" w:type="dxa"/>
            <w:hideMark/>
          </w:tcPr>
          <w:p w14:paraId="725C72A9" w14:textId="77777777" w:rsidR="00227939" w:rsidRPr="00854696" w:rsidRDefault="00227939" w:rsidP="008F03DF">
            <w:pPr>
              <w:spacing w:before="120" w:after="120" w:line="240" w:lineRule="atLeast"/>
              <w:rPr>
                <w:rFonts w:ascii="Arial" w:eastAsia="Times New Roman" w:hAnsi="Arial" w:cs="Arial"/>
                <w:b w:val="0"/>
                <w:sz w:val="24"/>
                <w:szCs w:val="24"/>
                <w:lang w:eastAsia="en-NZ"/>
              </w:rPr>
            </w:pPr>
            <w:r w:rsidRPr="00854696">
              <w:rPr>
                <w:rFonts w:ascii="Arial" w:eastAsia="Times New Roman" w:hAnsi="Arial" w:cs="Arial"/>
                <w:sz w:val="24"/>
                <w:szCs w:val="24"/>
                <w:lang w:eastAsia="en-NZ"/>
              </w:rPr>
              <w:t>Gisborne District</w:t>
            </w:r>
          </w:p>
        </w:tc>
        <w:tc>
          <w:tcPr>
            <w:tcW w:w="1920" w:type="dxa"/>
            <w:noWrap/>
          </w:tcPr>
          <w:p w14:paraId="5FA7A76B" w14:textId="77777777" w:rsidR="00227939" w:rsidRPr="00854696" w:rsidRDefault="00227939" w:rsidP="008F03DF">
            <w:pPr>
              <w:spacing w:before="120" w:after="120" w:line="24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0000"/>
                <w:sz w:val="24"/>
                <w:szCs w:val="24"/>
                <w:lang w:eastAsia="en-NZ"/>
              </w:rPr>
            </w:pPr>
            <w:r w:rsidRPr="00854696">
              <w:rPr>
                <w:rFonts w:ascii="Arial" w:hAnsi="Arial" w:cs="Arial"/>
                <w:sz w:val="24"/>
                <w:szCs w:val="24"/>
              </w:rPr>
              <w:t>12.29%</w:t>
            </w:r>
          </w:p>
        </w:tc>
        <w:tc>
          <w:tcPr>
            <w:tcW w:w="2436" w:type="dxa"/>
            <w:noWrap/>
          </w:tcPr>
          <w:p w14:paraId="3DCE8E9C" w14:textId="77777777" w:rsidR="00227939" w:rsidRPr="00710711" w:rsidRDefault="00227939" w:rsidP="008F03DF">
            <w:pPr>
              <w:spacing w:before="120" w:after="120" w:line="240" w:lineRule="atLeas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lang w:eastAsia="en-NZ"/>
              </w:rPr>
            </w:pPr>
            <w:r w:rsidRPr="00710711">
              <w:rPr>
                <w:rFonts w:ascii="Arial" w:hAnsi="Arial" w:cs="Arial"/>
                <w:b/>
                <w:sz w:val="24"/>
                <w:szCs w:val="24"/>
              </w:rPr>
              <w:t>Whangarei District</w:t>
            </w:r>
          </w:p>
        </w:tc>
        <w:tc>
          <w:tcPr>
            <w:tcW w:w="2154" w:type="dxa"/>
            <w:noWrap/>
          </w:tcPr>
          <w:p w14:paraId="3841CF3D" w14:textId="77777777" w:rsidR="00227939" w:rsidRPr="00854696" w:rsidRDefault="00227939" w:rsidP="008F03DF">
            <w:pPr>
              <w:spacing w:before="120" w:after="120" w:line="240" w:lineRule="atLeas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hAnsi="Arial" w:cs="Arial"/>
                <w:sz w:val="24"/>
                <w:szCs w:val="24"/>
              </w:rPr>
              <w:t>9</w:t>
            </w:r>
            <w:r w:rsidR="00854696">
              <w:rPr>
                <w:rFonts w:ascii="Arial" w:hAnsi="Arial" w:cs="Arial"/>
                <w:sz w:val="24"/>
                <w:szCs w:val="24"/>
              </w:rPr>
              <w:t>,</w:t>
            </w:r>
            <w:r w:rsidRPr="00854696">
              <w:rPr>
                <w:rFonts w:ascii="Arial" w:hAnsi="Arial" w:cs="Arial"/>
                <w:sz w:val="24"/>
                <w:szCs w:val="24"/>
              </w:rPr>
              <w:t>846</w:t>
            </w:r>
          </w:p>
        </w:tc>
      </w:tr>
      <w:tr w:rsidR="00227939" w:rsidRPr="00227939" w14:paraId="2F59126A" w14:textId="77777777" w:rsidTr="00854696">
        <w:trPr>
          <w:trHeight w:val="400"/>
        </w:trPr>
        <w:tc>
          <w:tcPr>
            <w:cnfStyle w:val="001000000000" w:firstRow="0" w:lastRow="0" w:firstColumn="1" w:lastColumn="0" w:oddVBand="0" w:evenVBand="0" w:oddHBand="0" w:evenHBand="0" w:firstRowFirstColumn="0" w:firstRowLastColumn="0" w:lastRowFirstColumn="0" w:lastRowLastColumn="0"/>
            <w:tcW w:w="2506" w:type="dxa"/>
          </w:tcPr>
          <w:p w14:paraId="6681F296" w14:textId="77777777" w:rsidR="00227939" w:rsidRPr="00854696" w:rsidRDefault="00227939" w:rsidP="008F03DF">
            <w:pPr>
              <w:spacing w:before="120" w:after="120" w:line="240" w:lineRule="atLeast"/>
              <w:rPr>
                <w:rFonts w:ascii="Arial" w:eastAsia="Times New Roman" w:hAnsi="Arial" w:cs="Arial"/>
                <w:b w:val="0"/>
                <w:sz w:val="24"/>
                <w:szCs w:val="24"/>
                <w:lang w:eastAsia="en-NZ"/>
              </w:rPr>
            </w:pPr>
            <w:r w:rsidRPr="00854696">
              <w:rPr>
                <w:rFonts w:ascii="Arial" w:eastAsia="Times New Roman" w:hAnsi="Arial" w:cs="Arial"/>
                <w:sz w:val="24"/>
                <w:szCs w:val="24"/>
                <w:lang w:eastAsia="en-NZ"/>
              </w:rPr>
              <w:t>Total - Territorial Authority areas</w:t>
            </w:r>
          </w:p>
        </w:tc>
        <w:tc>
          <w:tcPr>
            <w:tcW w:w="1920" w:type="dxa"/>
            <w:noWrap/>
          </w:tcPr>
          <w:p w14:paraId="224452B7" w14:textId="77777777" w:rsidR="00227939" w:rsidRPr="00854696" w:rsidRDefault="00227939" w:rsidP="008F03DF">
            <w:pPr>
              <w:spacing w:before="120" w:after="120" w:line="24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54696">
              <w:rPr>
                <w:rFonts w:ascii="Arial" w:hAnsi="Arial" w:cs="Arial"/>
                <w:sz w:val="24"/>
                <w:szCs w:val="24"/>
              </w:rPr>
              <w:t>13.18%</w:t>
            </w:r>
          </w:p>
        </w:tc>
        <w:tc>
          <w:tcPr>
            <w:tcW w:w="2436" w:type="dxa"/>
            <w:noWrap/>
          </w:tcPr>
          <w:p w14:paraId="3225F160" w14:textId="77777777" w:rsidR="00227939" w:rsidRPr="00854696" w:rsidRDefault="00227939" w:rsidP="008F03DF">
            <w:pPr>
              <w:spacing w:before="120" w:after="12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854696">
              <w:rPr>
                <w:rFonts w:ascii="Arial" w:hAnsi="Arial" w:cs="Arial"/>
                <w:b/>
                <w:sz w:val="24"/>
                <w:szCs w:val="24"/>
              </w:rPr>
              <w:t>Total - Territorial Authority areas</w:t>
            </w:r>
          </w:p>
        </w:tc>
        <w:tc>
          <w:tcPr>
            <w:tcW w:w="2154" w:type="dxa"/>
            <w:noWrap/>
          </w:tcPr>
          <w:p w14:paraId="74A9C0DF" w14:textId="77777777" w:rsidR="00227939" w:rsidRPr="00854696" w:rsidRDefault="00227939" w:rsidP="00BA6F26">
            <w:pPr>
              <w:keepNext/>
              <w:spacing w:before="120" w:after="12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54696">
              <w:rPr>
                <w:rFonts w:ascii="Arial" w:hAnsi="Arial" w:cs="Arial"/>
                <w:sz w:val="24"/>
                <w:szCs w:val="24"/>
              </w:rPr>
              <w:t>619</w:t>
            </w:r>
            <w:r w:rsidR="00854696">
              <w:rPr>
                <w:rFonts w:ascii="Arial" w:hAnsi="Arial" w:cs="Arial"/>
                <w:sz w:val="24"/>
                <w:szCs w:val="24"/>
              </w:rPr>
              <w:t>,</w:t>
            </w:r>
            <w:r w:rsidRPr="00854696">
              <w:rPr>
                <w:rFonts w:ascii="Arial" w:hAnsi="Arial" w:cs="Arial"/>
                <w:sz w:val="24"/>
                <w:szCs w:val="24"/>
              </w:rPr>
              <w:t>218</w:t>
            </w:r>
          </w:p>
        </w:tc>
      </w:tr>
    </w:tbl>
    <w:p w14:paraId="70F8486E" w14:textId="6BE924D2" w:rsidR="00BA6F26" w:rsidRPr="00BA6F26" w:rsidRDefault="00BA6F26">
      <w:pPr>
        <w:pStyle w:val="Caption"/>
        <w:rPr>
          <w:rFonts w:ascii="Arial" w:hAnsi="Arial" w:cs="Arial"/>
          <w:i w:val="0"/>
          <w:color w:val="auto"/>
        </w:rPr>
      </w:pPr>
      <w:r w:rsidRPr="00BA6F26">
        <w:rPr>
          <w:rFonts w:ascii="Arial" w:hAnsi="Arial" w:cs="Arial"/>
          <w:i w:val="0"/>
          <w:color w:val="auto"/>
        </w:rPr>
        <w:t xml:space="preserve">Source: </w:t>
      </w:r>
      <w:proofErr w:type="spellStart"/>
      <w:r w:rsidRPr="00BA6F26">
        <w:rPr>
          <w:rFonts w:ascii="Arial" w:hAnsi="Arial" w:cs="Arial"/>
          <w:i w:val="0"/>
          <w:color w:val="auto"/>
        </w:rPr>
        <w:t>StatsNZ</w:t>
      </w:r>
      <w:proofErr w:type="spellEnd"/>
      <w:r w:rsidRPr="00BA6F26">
        <w:rPr>
          <w:rFonts w:ascii="Arial" w:hAnsi="Arial" w:cs="Arial"/>
          <w:i w:val="0"/>
          <w:color w:val="auto"/>
        </w:rPr>
        <w:t xml:space="preserve"> Census 2018</w:t>
      </w:r>
    </w:p>
    <w:p w14:paraId="13BD2C40" w14:textId="54E59957" w:rsidR="0044707D" w:rsidRPr="00710711" w:rsidRDefault="00423927" w:rsidP="008F03DF">
      <w:pPr>
        <w:pStyle w:val="ListParagraph"/>
        <w:numPr>
          <w:ilvl w:val="0"/>
          <w:numId w:val="39"/>
        </w:numPr>
        <w:spacing w:before="120" w:after="120" w:line="240" w:lineRule="atLeast"/>
        <w:ind w:left="567" w:hanging="567"/>
        <w:contextualSpacing w:val="0"/>
        <w:rPr>
          <w:rFonts w:ascii="Arial" w:hAnsi="Arial" w:cs="Arial"/>
        </w:rPr>
      </w:pPr>
      <w:r w:rsidRPr="00710711">
        <w:rPr>
          <w:rFonts w:ascii="Arial" w:hAnsi="Arial" w:cs="Arial"/>
          <w:sz w:val="24"/>
          <w:szCs w:val="24"/>
        </w:rPr>
        <w:t xml:space="preserve">The table </w:t>
      </w:r>
      <w:r w:rsidR="00767283">
        <w:rPr>
          <w:rFonts w:ascii="Arial" w:hAnsi="Arial" w:cs="Arial"/>
          <w:sz w:val="24"/>
          <w:szCs w:val="24"/>
        </w:rPr>
        <w:t>above</w:t>
      </w:r>
      <w:r w:rsidRPr="00710711">
        <w:rPr>
          <w:rFonts w:ascii="Arial" w:hAnsi="Arial" w:cs="Arial"/>
          <w:sz w:val="24"/>
          <w:szCs w:val="24"/>
        </w:rPr>
        <w:t xml:space="preserve"> shows territorial authority areas where young people are most highly concentrated by their total numbers, or as a proportion of the 15 – </w:t>
      </w:r>
      <w:proofErr w:type="gramStart"/>
      <w:r w:rsidRPr="00710711">
        <w:rPr>
          <w:rFonts w:ascii="Arial" w:hAnsi="Arial" w:cs="Arial"/>
          <w:sz w:val="24"/>
          <w:szCs w:val="24"/>
        </w:rPr>
        <w:t>24 ye</w:t>
      </w:r>
      <w:r w:rsidR="00203F01" w:rsidRPr="00710711">
        <w:rPr>
          <w:rFonts w:ascii="Arial" w:hAnsi="Arial" w:cs="Arial"/>
          <w:sz w:val="24"/>
          <w:szCs w:val="24"/>
        </w:rPr>
        <w:t>ar old</w:t>
      </w:r>
      <w:proofErr w:type="gramEnd"/>
      <w:r w:rsidR="00203F01" w:rsidRPr="00710711">
        <w:rPr>
          <w:rFonts w:ascii="Arial" w:hAnsi="Arial" w:cs="Arial"/>
          <w:sz w:val="24"/>
          <w:szCs w:val="24"/>
        </w:rPr>
        <w:t xml:space="preserve"> population</w:t>
      </w:r>
      <w:r w:rsidR="00767283">
        <w:rPr>
          <w:rFonts w:ascii="Arial" w:hAnsi="Arial" w:cs="Arial"/>
          <w:sz w:val="24"/>
          <w:szCs w:val="24"/>
        </w:rPr>
        <w:t xml:space="preserve">. The table below shows this </w:t>
      </w:r>
      <w:r w:rsidR="00203F01" w:rsidRPr="00710711">
        <w:rPr>
          <w:rFonts w:ascii="Arial" w:hAnsi="Arial" w:cs="Arial"/>
          <w:sz w:val="24"/>
          <w:szCs w:val="24"/>
        </w:rPr>
        <w:t>by ethnicity.</w:t>
      </w:r>
      <w:r w:rsidRPr="00710711">
        <w:rPr>
          <w:rFonts w:ascii="Arial" w:hAnsi="Arial" w:cs="Arial"/>
          <w:sz w:val="24"/>
          <w:szCs w:val="24"/>
        </w:rPr>
        <w:t xml:space="preserve"> Auckland has the highest total numbers of 15 – </w:t>
      </w:r>
      <w:proofErr w:type="gramStart"/>
      <w:r w:rsidRPr="00710711">
        <w:rPr>
          <w:rFonts w:ascii="Arial" w:hAnsi="Arial" w:cs="Arial"/>
          <w:sz w:val="24"/>
          <w:szCs w:val="24"/>
        </w:rPr>
        <w:t>24 year</w:t>
      </w:r>
      <w:proofErr w:type="gramEnd"/>
      <w:r w:rsidRPr="00710711">
        <w:rPr>
          <w:rFonts w:ascii="Arial" w:hAnsi="Arial" w:cs="Arial"/>
          <w:sz w:val="24"/>
          <w:szCs w:val="24"/>
        </w:rPr>
        <w:t xml:space="preserve"> olds identifying </w:t>
      </w:r>
      <w:r w:rsidR="00203F01" w:rsidRPr="00710711">
        <w:rPr>
          <w:rFonts w:ascii="Arial" w:hAnsi="Arial" w:cs="Arial"/>
          <w:sz w:val="24"/>
          <w:szCs w:val="24"/>
        </w:rPr>
        <w:t>as Māori, Pacific peoples</w:t>
      </w:r>
      <w:r w:rsidR="00390203" w:rsidRPr="00710711">
        <w:rPr>
          <w:rFonts w:ascii="Arial" w:hAnsi="Arial" w:cs="Arial"/>
          <w:sz w:val="24"/>
          <w:szCs w:val="24"/>
        </w:rPr>
        <w:t>,</w:t>
      </w:r>
      <w:r w:rsidR="00203F01" w:rsidRPr="00710711">
        <w:rPr>
          <w:rFonts w:ascii="Arial" w:hAnsi="Arial" w:cs="Arial"/>
          <w:sz w:val="24"/>
          <w:szCs w:val="24"/>
        </w:rPr>
        <w:t xml:space="preserve"> and Asian</w:t>
      </w:r>
      <w:r w:rsidRPr="00710711">
        <w:rPr>
          <w:rFonts w:ascii="Arial" w:hAnsi="Arial" w:cs="Arial"/>
          <w:sz w:val="24"/>
          <w:szCs w:val="24"/>
        </w:rPr>
        <w:t xml:space="preserve">. </w:t>
      </w:r>
      <w:r w:rsidR="0001532B" w:rsidRPr="00710711">
        <w:rPr>
          <w:rFonts w:ascii="Arial" w:hAnsi="Arial" w:cs="Arial"/>
          <w:sz w:val="24"/>
          <w:szCs w:val="24"/>
        </w:rPr>
        <w:t xml:space="preserve">The areas with the highest proportions of Māori in their 15 – </w:t>
      </w:r>
      <w:proofErr w:type="gramStart"/>
      <w:r w:rsidR="0001532B" w:rsidRPr="00710711">
        <w:rPr>
          <w:rFonts w:ascii="Arial" w:hAnsi="Arial" w:cs="Arial"/>
          <w:sz w:val="24"/>
          <w:szCs w:val="24"/>
        </w:rPr>
        <w:t>24 year old</w:t>
      </w:r>
      <w:proofErr w:type="gramEnd"/>
      <w:r w:rsidR="0001532B" w:rsidRPr="00710711">
        <w:rPr>
          <w:rFonts w:ascii="Arial" w:hAnsi="Arial" w:cs="Arial"/>
          <w:sz w:val="24"/>
          <w:szCs w:val="24"/>
        </w:rPr>
        <w:t xml:space="preserve"> populations </w:t>
      </w:r>
      <w:r w:rsidR="006B0D9D" w:rsidRPr="00710711">
        <w:rPr>
          <w:rFonts w:ascii="Arial" w:hAnsi="Arial" w:cs="Arial"/>
          <w:sz w:val="24"/>
          <w:szCs w:val="24"/>
        </w:rPr>
        <w:t xml:space="preserve">are </w:t>
      </w:r>
      <w:proofErr w:type="spellStart"/>
      <w:r w:rsidR="00197B9F" w:rsidRPr="00197B9F">
        <w:rPr>
          <w:rFonts w:ascii="Arial" w:hAnsi="Arial" w:cs="Arial"/>
          <w:sz w:val="24"/>
          <w:szCs w:val="24"/>
        </w:rPr>
        <w:t>Ōpōtiki</w:t>
      </w:r>
      <w:proofErr w:type="spellEnd"/>
      <w:r w:rsidR="006B0D9D" w:rsidRPr="00710711">
        <w:rPr>
          <w:rFonts w:ascii="Arial" w:hAnsi="Arial" w:cs="Arial"/>
          <w:sz w:val="24"/>
          <w:szCs w:val="24"/>
        </w:rPr>
        <w:t>, Hastings and Gisbo</w:t>
      </w:r>
      <w:r w:rsidR="0001532B" w:rsidRPr="00710711">
        <w:rPr>
          <w:rFonts w:ascii="Arial" w:hAnsi="Arial" w:cs="Arial"/>
          <w:sz w:val="24"/>
          <w:szCs w:val="24"/>
        </w:rPr>
        <w:t>rne. Upper Hutt, Thames-Coromandel and Waitomo have the highest proportions of Pacific Peoples in their youth populations, while the areas with the highest proportions of Asian you</w:t>
      </w:r>
      <w:r w:rsidR="007E6E37" w:rsidRPr="00710711">
        <w:rPr>
          <w:rFonts w:ascii="Arial" w:hAnsi="Arial" w:cs="Arial"/>
          <w:sz w:val="24"/>
          <w:szCs w:val="24"/>
        </w:rPr>
        <w:t xml:space="preserve">ng people are </w:t>
      </w:r>
      <w:r w:rsidR="00734778" w:rsidRPr="00710711">
        <w:rPr>
          <w:rFonts w:ascii="Arial" w:hAnsi="Arial" w:cs="Arial"/>
          <w:sz w:val="24"/>
          <w:szCs w:val="24"/>
        </w:rPr>
        <w:t xml:space="preserve">the </w:t>
      </w:r>
      <w:r w:rsidR="007E6E37" w:rsidRPr="00710711">
        <w:rPr>
          <w:rFonts w:ascii="Arial" w:hAnsi="Arial" w:cs="Arial"/>
          <w:sz w:val="24"/>
          <w:szCs w:val="24"/>
        </w:rPr>
        <w:t>Thames-Coromandel</w:t>
      </w:r>
      <w:r w:rsidR="0001532B" w:rsidRPr="00710711">
        <w:rPr>
          <w:rFonts w:ascii="Arial" w:hAnsi="Arial" w:cs="Arial"/>
          <w:sz w:val="24"/>
          <w:szCs w:val="24"/>
        </w:rPr>
        <w:t xml:space="preserve">, </w:t>
      </w:r>
      <w:proofErr w:type="spellStart"/>
      <w:r w:rsidR="0001532B" w:rsidRPr="00710711">
        <w:rPr>
          <w:rFonts w:ascii="Arial" w:hAnsi="Arial" w:cs="Arial"/>
          <w:sz w:val="24"/>
          <w:szCs w:val="24"/>
        </w:rPr>
        <w:t>Waipa</w:t>
      </w:r>
      <w:proofErr w:type="spellEnd"/>
      <w:r w:rsidR="0001532B" w:rsidRPr="00710711">
        <w:rPr>
          <w:rFonts w:ascii="Arial" w:hAnsi="Arial" w:cs="Arial"/>
          <w:sz w:val="24"/>
          <w:szCs w:val="24"/>
        </w:rPr>
        <w:t xml:space="preserve"> and Far North </w:t>
      </w:r>
      <w:r w:rsidR="00734778" w:rsidRPr="00710711">
        <w:rPr>
          <w:rFonts w:ascii="Arial" w:hAnsi="Arial" w:cs="Arial"/>
          <w:sz w:val="24"/>
          <w:szCs w:val="24"/>
        </w:rPr>
        <w:t>d</w:t>
      </w:r>
      <w:r w:rsidR="0001532B" w:rsidRPr="00710711">
        <w:rPr>
          <w:rFonts w:ascii="Arial" w:hAnsi="Arial" w:cs="Arial"/>
          <w:sz w:val="24"/>
          <w:szCs w:val="24"/>
        </w:rPr>
        <w:t>istrict</w:t>
      </w:r>
      <w:r w:rsidR="00734778" w:rsidRPr="00710711">
        <w:rPr>
          <w:rFonts w:ascii="Arial" w:hAnsi="Arial" w:cs="Arial"/>
          <w:sz w:val="24"/>
          <w:szCs w:val="24"/>
        </w:rPr>
        <w:t>s</w:t>
      </w:r>
      <w:r w:rsidR="0001532B" w:rsidRPr="00710711">
        <w:rPr>
          <w:rFonts w:ascii="Arial" w:hAnsi="Arial" w:cs="Arial"/>
          <w:sz w:val="24"/>
          <w:szCs w:val="24"/>
        </w:rPr>
        <w:t>.</w:t>
      </w:r>
    </w:p>
    <w:tbl>
      <w:tblPr>
        <w:tblStyle w:val="GridTable1Light-Accent1"/>
        <w:tblW w:w="5000" w:type="pct"/>
        <w:tblLayout w:type="fixed"/>
        <w:tblLook w:val="04A0" w:firstRow="1" w:lastRow="0" w:firstColumn="1" w:lastColumn="0" w:noHBand="0" w:noVBand="1"/>
      </w:tblPr>
      <w:tblGrid>
        <w:gridCol w:w="1502"/>
        <w:gridCol w:w="1504"/>
        <w:gridCol w:w="1504"/>
        <w:gridCol w:w="1502"/>
        <w:gridCol w:w="1504"/>
        <w:gridCol w:w="1500"/>
      </w:tblGrid>
      <w:tr w:rsidR="00321DDF" w:rsidRPr="00423927" w14:paraId="11BE9A97" w14:textId="77777777" w:rsidTr="00710711">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33" w:type="pct"/>
            <w:noWrap/>
            <w:hideMark/>
          </w:tcPr>
          <w:p w14:paraId="1DD21C5F" w14:textId="25ADC289" w:rsidR="00321DDF" w:rsidRPr="00854696" w:rsidRDefault="00321DDF" w:rsidP="008F03DF">
            <w:pPr>
              <w:spacing w:before="120" w:after="120" w:line="240" w:lineRule="atLeast"/>
              <w:rPr>
                <w:rFonts w:ascii="Arial" w:eastAsia="Times New Roman" w:hAnsi="Arial" w:cs="Arial"/>
                <w:sz w:val="24"/>
                <w:szCs w:val="24"/>
                <w:lang w:eastAsia="en-NZ"/>
              </w:rPr>
            </w:pPr>
            <w:r>
              <w:rPr>
                <w:rFonts w:ascii="Arial" w:eastAsia="Times New Roman" w:hAnsi="Arial" w:cs="Arial"/>
                <w:sz w:val="24"/>
                <w:szCs w:val="24"/>
                <w:lang w:eastAsia="en-NZ"/>
              </w:rPr>
              <w:lastRenderedPageBreak/>
              <w:t xml:space="preserve">Māori - </w:t>
            </w:r>
            <w:r w:rsidRPr="00854696">
              <w:rPr>
                <w:rFonts w:ascii="Arial" w:eastAsia="Times New Roman" w:hAnsi="Arial" w:cs="Arial"/>
                <w:sz w:val="24"/>
                <w:szCs w:val="24"/>
                <w:lang w:eastAsia="en-NZ"/>
              </w:rPr>
              <w:t>Highest number</w:t>
            </w:r>
          </w:p>
        </w:tc>
        <w:tc>
          <w:tcPr>
            <w:tcW w:w="834" w:type="pct"/>
            <w:noWrap/>
            <w:hideMark/>
          </w:tcPr>
          <w:p w14:paraId="20973AEF" w14:textId="160CBC5E" w:rsidR="00321DDF" w:rsidRPr="00854696" w:rsidRDefault="00321DDF" w:rsidP="008F03DF">
            <w:pPr>
              <w:spacing w:before="120" w:after="120" w:line="240" w:lineRule="atLeas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lang w:eastAsia="en-NZ"/>
              </w:rPr>
            </w:pPr>
            <w:r>
              <w:rPr>
                <w:rFonts w:ascii="Arial" w:eastAsia="Times New Roman" w:hAnsi="Arial" w:cs="Arial"/>
                <w:sz w:val="24"/>
                <w:szCs w:val="24"/>
                <w:lang w:eastAsia="en-NZ"/>
              </w:rPr>
              <w:t xml:space="preserve">Māori - </w:t>
            </w:r>
            <w:r w:rsidRPr="00854696">
              <w:rPr>
                <w:rFonts w:ascii="Arial" w:eastAsia="Times New Roman" w:hAnsi="Arial" w:cs="Arial"/>
                <w:sz w:val="24"/>
                <w:szCs w:val="24"/>
                <w:lang w:eastAsia="en-NZ"/>
              </w:rPr>
              <w:t>Highest proportion</w:t>
            </w:r>
          </w:p>
        </w:tc>
        <w:tc>
          <w:tcPr>
            <w:tcW w:w="834" w:type="pct"/>
            <w:noWrap/>
            <w:hideMark/>
          </w:tcPr>
          <w:p w14:paraId="64BCB52B" w14:textId="01A322C7" w:rsidR="00321DDF" w:rsidRPr="00854696" w:rsidRDefault="00321DDF" w:rsidP="008F03DF">
            <w:pPr>
              <w:spacing w:before="120" w:after="120" w:line="240" w:lineRule="atLeas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lang w:eastAsia="en-NZ"/>
              </w:rPr>
            </w:pPr>
            <w:r>
              <w:rPr>
                <w:rFonts w:ascii="Arial" w:eastAsia="Times New Roman" w:hAnsi="Arial" w:cs="Arial"/>
                <w:sz w:val="24"/>
                <w:szCs w:val="24"/>
                <w:lang w:eastAsia="en-NZ"/>
              </w:rPr>
              <w:t xml:space="preserve">Pacific Peoples - </w:t>
            </w:r>
            <w:r w:rsidRPr="00854696">
              <w:rPr>
                <w:rFonts w:ascii="Arial" w:eastAsia="Times New Roman" w:hAnsi="Arial" w:cs="Arial"/>
                <w:sz w:val="24"/>
                <w:szCs w:val="24"/>
                <w:lang w:eastAsia="en-NZ"/>
              </w:rPr>
              <w:t>Highest number</w:t>
            </w:r>
          </w:p>
        </w:tc>
        <w:tc>
          <w:tcPr>
            <w:tcW w:w="833" w:type="pct"/>
            <w:noWrap/>
            <w:hideMark/>
          </w:tcPr>
          <w:p w14:paraId="367F245D" w14:textId="6A79E619" w:rsidR="00321DDF" w:rsidRPr="00854696" w:rsidRDefault="00321DDF" w:rsidP="008F03DF">
            <w:pPr>
              <w:spacing w:before="120" w:after="120" w:line="240" w:lineRule="atLeas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lang w:eastAsia="en-NZ"/>
              </w:rPr>
            </w:pPr>
            <w:r>
              <w:rPr>
                <w:rFonts w:ascii="Arial" w:eastAsia="Times New Roman" w:hAnsi="Arial" w:cs="Arial"/>
                <w:sz w:val="24"/>
                <w:szCs w:val="24"/>
                <w:lang w:eastAsia="en-NZ"/>
              </w:rPr>
              <w:t xml:space="preserve">Pacific Peoples - </w:t>
            </w:r>
            <w:r w:rsidRPr="00854696">
              <w:rPr>
                <w:rFonts w:ascii="Arial" w:eastAsia="Times New Roman" w:hAnsi="Arial" w:cs="Arial"/>
                <w:sz w:val="24"/>
                <w:szCs w:val="24"/>
                <w:lang w:eastAsia="en-NZ"/>
              </w:rPr>
              <w:t>Highest proportion</w:t>
            </w:r>
          </w:p>
        </w:tc>
        <w:tc>
          <w:tcPr>
            <w:tcW w:w="834" w:type="pct"/>
            <w:noWrap/>
            <w:hideMark/>
          </w:tcPr>
          <w:p w14:paraId="46A2D349" w14:textId="617D3F4F" w:rsidR="00321DDF" w:rsidRPr="00854696" w:rsidRDefault="00321DDF" w:rsidP="008F03DF">
            <w:pPr>
              <w:spacing w:before="120" w:after="120" w:line="240" w:lineRule="atLeas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lang w:eastAsia="en-NZ"/>
              </w:rPr>
            </w:pPr>
            <w:r>
              <w:rPr>
                <w:rFonts w:ascii="Arial" w:eastAsia="Times New Roman" w:hAnsi="Arial" w:cs="Arial"/>
                <w:sz w:val="24"/>
                <w:szCs w:val="24"/>
                <w:lang w:eastAsia="en-NZ"/>
              </w:rPr>
              <w:t xml:space="preserve">Asian - </w:t>
            </w:r>
            <w:r w:rsidRPr="00854696">
              <w:rPr>
                <w:rFonts w:ascii="Arial" w:eastAsia="Times New Roman" w:hAnsi="Arial" w:cs="Arial"/>
                <w:sz w:val="24"/>
                <w:szCs w:val="24"/>
                <w:lang w:eastAsia="en-NZ"/>
              </w:rPr>
              <w:t>Highest number</w:t>
            </w:r>
          </w:p>
        </w:tc>
        <w:tc>
          <w:tcPr>
            <w:tcW w:w="834" w:type="pct"/>
            <w:noWrap/>
            <w:hideMark/>
          </w:tcPr>
          <w:p w14:paraId="6F9066A4" w14:textId="1CF2AED1" w:rsidR="00321DDF" w:rsidRPr="00854696" w:rsidRDefault="00321DDF" w:rsidP="008F03DF">
            <w:pPr>
              <w:spacing w:before="120" w:after="120" w:line="240" w:lineRule="atLeas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lang w:eastAsia="en-NZ"/>
              </w:rPr>
            </w:pPr>
            <w:r>
              <w:rPr>
                <w:rFonts w:ascii="Arial" w:eastAsia="Times New Roman" w:hAnsi="Arial" w:cs="Arial"/>
                <w:sz w:val="24"/>
                <w:szCs w:val="24"/>
                <w:lang w:eastAsia="en-NZ"/>
              </w:rPr>
              <w:t xml:space="preserve">Asian - </w:t>
            </w:r>
            <w:r w:rsidRPr="00854696">
              <w:rPr>
                <w:rFonts w:ascii="Arial" w:eastAsia="Times New Roman" w:hAnsi="Arial" w:cs="Arial"/>
                <w:sz w:val="24"/>
                <w:szCs w:val="24"/>
                <w:lang w:eastAsia="en-NZ"/>
              </w:rPr>
              <w:t>Highest proportion</w:t>
            </w:r>
          </w:p>
        </w:tc>
      </w:tr>
      <w:tr w:rsidR="00321DDF" w:rsidRPr="00423927" w14:paraId="63B41259" w14:textId="77777777" w:rsidTr="00710711">
        <w:trPr>
          <w:trHeight w:val="250"/>
        </w:trPr>
        <w:tc>
          <w:tcPr>
            <w:cnfStyle w:val="001000000000" w:firstRow="0" w:lastRow="0" w:firstColumn="1" w:lastColumn="0" w:oddVBand="0" w:evenVBand="0" w:oddHBand="0" w:evenHBand="0" w:firstRowFirstColumn="0" w:firstRowLastColumn="0" w:lastRowFirstColumn="0" w:lastRowLastColumn="0"/>
            <w:tcW w:w="833" w:type="pct"/>
            <w:noWrap/>
            <w:hideMark/>
          </w:tcPr>
          <w:p w14:paraId="583D53D1" w14:textId="252937BB" w:rsidR="00321DDF" w:rsidRPr="00AC49E7" w:rsidRDefault="00321DDF" w:rsidP="008F03DF">
            <w:pPr>
              <w:spacing w:before="120" w:after="120" w:line="240" w:lineRule="atLeast"/>
              <w:rPr>
                <w:rFonts w:ascii="Arial" w:eastAsia="Times New Roman" w:hAnsi="Arial" w:cs="Arial"/>
                <w:b w:val="0"/>
                <w:sz w:val="24"/>
                <w:szCs w:val="24"/>
                <w:lang w:eastAsia="en-NZ"/>
              </w:rPr>
            </w:pPr>
            <w:r w:rsidRPr="00AC49E7">
              <w:rPr>
                <w:rFonts w:ascii="Arial" w:eastAsia="Times New Roman" w:hAnsi="Arial" w:cs="Arial"/>
                <w:sz w:val="24"/>
                <w:szCs w:val="24"/>
                <w:lang w:eastAsia="en-NZ"/>
              </w:rPr>
              <w:t>Auckland (33231)</w:t>
            </w:r>
          </w:p>
        </w:tc>
        <w:tc>
          <w:tcPr>
            <w:tcW w:w="834" w:type="pct"/>
            <w:noWrap/>
            <w:hideMark/>
          </w:tcPr>
          <w:p w14:paraId="43C56546" w14:textId="394BD66D"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Opotiki District (80.41%)</w:t>
            </w:r>
          </w:p>
        </w:tc>
        <w:tc>
          <w:tcPr>
            <w:tcW w:w="834" w:type="pct"/>
            <w:noWrap/>
            <w:hideMark/>
          </w:tcPr>
          <w:p w14:paraId="06CAFAEF" w14:textId="117B05B6"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Auckland (47</w:t>
            </w:r>
            <w:r>
              <w:rPr>
                <w:rFonts w:ascii="Arial" w:eastAsia="Times New Roman" w:hAnsi="Arial" w:cs="Arial"/>
                <w:sz w:val="24"/>
                <w:szCs w:val="24"/>
                <w:lang w:eastAsia="en-NZ"/>
              </w:rPr>
              <w:t>,</w:t>
            </w:r>
            <w:r w:rsidRPr="00854696">
              <w:rPr>
                <w:rFonts w:ascii="Arial" w:eastAsia="Times New Roman" w:hAnsi="Arial" w:cs="Arial"/>
                <w:sz w:val="24"/>
                <w:szCs w:val="24"/>
                <w:lang w:eastAsia="en-NZ"/>
              </w:rPr>
              <w:t>346)</w:t>
            </w:r>
          </w:p>
        </w:tc>
        <w:tc>
          <w:tcPr>
            <w:tcW w:w="833" w:type="pct"/>
            <w:noWrap/>
            <w:hideMark/>
          </w:tcPr>
          <w:p w14:paraId="340967C2" w14:textId="3796C918"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Upper Hutt City (36.91%)</w:t>
            </w:r>
          </w:p>
        </w:tc>
        <w:tc>
          <w:tcPr>
            <w:tcW w:w="834" w:type="pct"/>
            <w:noWrap/>
            <w:hideMark/>
          </w:tcPr>
          <w:p w14:paraId="67DE5B82" w14:textId="2EAD7D7A"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Auckland (66219)</w:t>
            </w:r>
          </w:p>
        </w:tc>
        <w:tc>
          <w:tcPr>
            <w:tcW w:w="834" w:type="pct"/>
            <w:noWrap/>
            <w:hideMark/>
          </w:tcPr>
          <w:p w14:paraId="586988DB" w14:textId="50B39067"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Thames-Coromandel District (29.6%)</w:t>
            </w:r>
          </w:p>
        </w:tc>
      </w:tr>
      <w:tr w:rsidR="00321DDF" w:rsidRPr="00423927" w14:paraId="0E6F6A42" w14:textId="77777777" w:rsidTr="00710711">
        <w:trPr>
          <w:trHeight w:val="250"/>
        </w:trPr>
        <w:tc>
          <w:tcPr>
            <w:cnfStyle w:val="001000000000" w:firstRow="0" w:lastRow="0" w:firstColumn="1" w:lastColumn="0" w:oddVBand="0" w:evenVBand="0" w:oddHBand="0" w:evenHBand="0" w:firstRowFirstColumn="0" w:firstRowLastColumn="0" w:lastRowFirstColumn="0" w:lastRowLastColumn="0"/>
            <w:tcW w:w="833" w:type="pct"/>
            <w:noWrap/>
            <w:hideMark/>
          </w:tcPr>
          <w:p w14:paraId="0E30C38A" w14:textId="13B7AC84" w:rsidR="00321DDF" w:rsidRPr="00AC49E7" w:rsidRDefault="00321DDF" w:rsidP="008F03DF">
            <w:pPr>
              <w:spacing w:before="120" w:after="120" w:line="240" w:lineRule="atLeast"/>
              <w:rPr>
                <w:rFonts w:ascii="Arial" w:eastAsia="Times New Roman" w:hAnsi="Arial" w:cs="Arial"/>
                <w:b w:val="0"/>
                <w:sz w:val="24"/>
                <w:szCs w:val="24"/>
                <w:lang w:eastAsia="en-NZ"/>
              </w:rPr>
            </w:pPr>
            <w:r w:rsidRPr="00AC49E7">
              <w:rPr>
                <w:rFonts w:ascii="Arial" w:eastAsia="Times New Roman" w:hAnsi="Arial" w:cs="Arial"/>
                <w:sz w:val="24"/>
                <w:szCs w:val="24"/>
                <w:lang w:eastAsia="en-NZ"/>
              </w:rPr>
              <w:t>Hamilton City (7506)</w:t>
            </w:r>
          </w:p>
        </w:tc>
        <w:tc>
          <w:tcPr>
            <w:tcW w:w="834" w:type="pct"/>
            <w:noWrap/>
            <w:hideMark/>
          </w:tcPr>
          <w:p w14:paraId="7FCA4B7D" w14:textId="0862096A"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Hastings District (80.17%)</w:t>
            </w:r>
          </w:p>
        </w:tc>
        <w:tc>
          <w:tcPr>
            <w:tcW w:w="834" w:type="pct"/>
            <w:noWrap/>
            <w:hideMark/>
          </w:tcPr>
          <w:p w14:paraId="0EBEE9C2" w14:textId="389A316A"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Christchurch City (2</w:t>
            </w:r>
            <w:r>
              <w:rPr>
                <w:rFonts w:ascii="Arial" w:eastAsia="Times New Roman" w:hAnsi="Arial" w:cs="Arial"/>
                <w:sz w:val="24"/>
                <w:szCs w:val="24"/>
                <w:lang w:eastAsia="en-NZ"/>
              </w:rPr>
              <w:t>,</w:t>
            </w:r>
            <w:r w:rsidRPr="00854696">
              <w:rPr>
                <w:rFonts w:ascii="Arial" w:eastAsia="Times New Roman" w:hAnsi="Arial" w:cs="Arial"/>
                <w:sz w:val="24"/>
                <w:szCs w:val="24"/>
                <w:lang w:eastAsia="en-NZ"/>
              </w:rPr>
              <w:t>736)</w:t>
            </w:r>
          </w:p>
        </w:tc>
        <w:tc>
          <w:tcPr>
            <w:tcW w:w="833" w:type="pct"/>
            <w:noWrap/>
            <w:hideMark/>
          </w:tcPr>
          <w:p w14:paraId="4D1A67F4" w14:textId="0E667A11"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Thames-Coromandel District (21.16%)</w:t>
            </w:r>
          </w:p>
        </w:tc>
        <w:tc>
          <w:tcPr>
            <w:tcW w:w="834" w:type="pct"/>
            <w:noWrap/>
            <w:hideMark/>
          </w:tcPr>
          <w:p w14:paraId="0912E97D" w14:textId="790688F9"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Christchurch City (8</w:t>
            </w:r>
            <w:r>
              <w:rPr>
                <w:rFonts w:ascii="Arial" w:eastAsia="Times New Roman" w:hAnsi="Arial" w:cs="Arial"/>
                <w:sz w:val="24"/>
                <w:szCs w:val="24"/>
                <w:lang w:eastAsia="en-NZ"/>
              </w:rPr>
              <w:t>,</w:t>
            </w:r>
            <w:r w:rsidRPr="00854696">
              <w:rPr>
                <w:rFonts w:ascii="Arial" w:eastAsia="Times New Roman" w:hAnsi="Arial" w:cs="Arial"/>
                <w:sz w:val="24"/>
                <w:szCs w:val="24"/>
                <w:lang w:eastAsia="en-NZ"/>
              </w:rPr>
              <w:t>565)</w:t>
            </w:r>
          </w:p>
        </w:tc>
        <w:tc>
          <w:tcPr>
            <w:tcW w:w="834" w:type="pct"/>
            <w:noWrap/>
            <w:hideMark/>
          </w:tcPr>
          <w:p w14:paraId="35941ED4" w14:textId="0AC1A016"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proofErr w:type="spellStart"/>
            <w:r w:rsidRPr="00854696">
              <w:rPr>
                <w:rFonts w:ascii="Arial" w:eastAsia="Times New Roman" w:hAnsi="Arial" w:cs="Arial"/>
                <w:sz w:val="24"/>
                <w:szCs w:val="24"/>
                <w:lang w:eastAsia="en-NZ"/>
              </w:rPr>
              <w:t>Waipa</w:t>
            </w:r>
            <w:proofErr w:type="spellEnd"/>
            <w:r w:rsidRPr="00854696">
              <w:rPr>
                <w:rFonts w:ascii="Arial" w:eastAsia="Times New Roman" w:hAnsi="Arial" w:cs="Arial"/>
                <w:sz w:val="24"/>
                <w:szCs w:val="24"/>
                <w:lang w:eastAsia="en-NZ"/>
              </w:rPr>
              <w:t xml:space="preserve"> District (17.27%)</w:t>
            </w:r>
          </w:p>
        </w:tc>
      </w:tr>
      <w:tr w:rsidR="00321DDF" w:rsidRPr="00423927" w14:paraId="4E6B96C3" w14:textId="77777777" w:rsidTr="00710711">
        <w:trPr>
          <w:trHeight w:val="250"/>
        </w:trPr>
        <w:tc>
          <w:tcPr>
            <w:cnfStyle w:val="001000000000" w:firstRow="0" w:lastRow="0" w:firstColumn="1" w:lastColumn="0" w:oddVBand="0" w:evenVBand="0" w:oddHBand="0" w:evenHBand="0" w:firstRowFirstColumn="0" w:firstRowLastColumn="0" w:lastRowFirstColumn="0" w:lastRowLastColumn="0"/>
            <w:tcW w:w="833" w:type="pct"/>
            <w:noWrap/>
            <w:hideMark/>
          </w:tcPr>
          <w:p w14:paraId="634C2524" w14:textId="4127278F" w:rsidR="00321DDF" w:rsidRPr="00AC49E7" w:rsidRDefault="00321DDF" w:rsidP="008F03DF">
            <w:pPr>
              <w:spacing w:before="120" w:after="120" w:line="240" w:lineRule="atLeast"/>
              <w:rPr>
                <w:rFonts w:ascii="Arial" w:eastAsia="Times New Roman" w:hAnsi="Arial" w:cs="Arial"/>
                <w:b w:val="0"/>
                <w:sz w:val="24"/>
                <w:szCs w:val="24"/>
                <w:lang w:eastAsia="en-NZ"/>
              </w:rPr>
            </w:pPr>
            <w:r w:rsidRPr="00AC49E7">
              <w:rPr>
                <w:rFonts w:ascii="Arial" w:eastAsia="Times New Roman" w:hAnsi="Arial" w:cs="Arial"/>
                <w:sz w:val="24"/>
                <w:szCs w:val="24"/>
                <w:lang w:eastAsia="en-NZ"/>
              </w:rPr>
              <w:t>Christchurch City (7002)</w:t>
            </w:r>
          </w:p>
        </w:tc>
        <w:tc>
          <w:tcPr>
            <w:tcW w:w="834" w:type="pct"/>
            <w:noWrap/>
            <w:hideMark/>
          </w:tcPr>
          <w:p w14:paraId="7B39B4A2" w14:textId="1625824D"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Gisborne District (78.61%)</w:t>
            </w:r>
          </w:p>
        </w:tc>
        <w:tc>
          <w:tcPr>
            <w:tcW w:w="834" w:type="pct"/>
            <w:noWrap/>
            <w:hideMark/>
          </w:tcPr>
          <w:p w14:paraId="6FD3B3E5" w14:textId="45C92385"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Porirua City (2</w:t>
            </w:r>
            <w:r>
              <w:rPr>
                <w:rFonts w:ascii="Arial" w:eastAsia="Times New Roman" w:hAnsi="Arial" w:cs="Arial"/>
                <w:sz w:val="24"/>
                <w:szCs w:val="24"/>
                <w:lang w:eastAsia="en-NZ"/>
              </w:rPr>
              <w:t>,</w:t>
            </w:r>
            <w:r w:rsidRPr="00854696">
              <w:rPr>
                <w:rFonts w:ascii="Arial" w:eastAsia="Times New Roman" w:hAnsi="Arial" w:cs="Arial"/>
                <w:sz w:val="24"/>
                <w:szCs w:val="24"/>
                <w:lang w:eastAsia="en-NZ"/>
              </w:rPr>
              <w:t>718)</w:t>
            </w:r>
          </w:p>
        </w:tc>
        <w:tc>
          <w:tcPr>
            <w:tcW w:w="833" w:type="pct"/>
            <w:noWrap/>
            <w:hideMark/>
          </w:tcPr>
          <w:p w14:paraId="27A93A93" w14:textId="506470FE"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Waitomo District (17.43%)</w:t>
            </w:r>
          </w:p>
        </w:tc>
        <w:tc>
          <w:tcPr>
            <w:tcW w:w="834" w:type="pct"/>
            <w:noWrap/>
            <w:hideMark/>
          </w:tcPr>
          <w:p w14:paraId="2238DFE9" w14:textId="2A1BC10F"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Wellington City (5</w:t>
            </w:r>
            <w:r>
              <w:rPr>
                <w:rFonts w:ascii="Arial" w:eastAsia="Times New Roman" w:hAnsi="Arial" w:cs="Arial"/>
                <w:sz w:val="24"/>
                <w:szCs w:val="24"/>
                <w:lang w:eastAsia="en-NZ"/>
              </w:rPr>
              <w:t>,</w:t>
            </w:r>
            <w:r w:rsidRPr="00854696">
              <w:rPr>
                <w:rFonts w:ascii="Arial" w:eastAsia="Times New Roman" w:hAnsi="Arial" w:cs="Arial"/>
                <w:sz w:val="24"/>
                <w:szCs w:val="24"/>
                <w:lang w:eastAsia="en-NZ"/>
              </w:rPr>
              <w:t>904)</w:t>
            </w:r>
          </w:p>
        </w:tc>
        <w:tc>
          <w:tcPr>
            <w:tcW w:w="834" w:type="pct"/>
            <w:noWrap/>
            <w:hideMark/>
          </w:tcPr>
          <w:p w14:paraId="7AF2C48F" w14:textId="05CA359E"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Far North District (17.16%)</w:t>
            </w:r>
          </w:p>
        </w:tc>
      </w:tr>
      <w:tr w:rsidR="00321DDF" w:rsidRPr="00423927" w14:paraId="3C149773" w14:textId="77777777" w:rsidTr="00710711">
        <w:trPr>
          <w:trHeight w:val="250"/>
        </w:trPr>
        <w:tc>
          <w:tcPr>
            <w:cnfStyle w:val="001000000000" w:firstRow="0" w:lastRow="0" w:firstColumn="1" w:lastColumn="0" w:oddVBand="0" w:evenVBand="0" w:oddHBand="0" w:evenHBand="0" w:firstRowFirstColumn="0" w:firstRowLastColumn="0" w:lastRowFirstColumn="0" w:lastRowLastColumn="0"/>
            <w:tcW w:w="833" w:type="pct"/>
            <w:noWrap/>
            <w:hideMark/>
          </w:tcPr>
          <w:p w14:paraId="10839793" w14:textId="3977A7B8" w:rsidR="00321DDF" w:rsidRPr="00AC49E7" w:rsidRDefault="00321DDF" w:rsidP="008F03DF">
            <w:pPr>
              <w:spacing w:before="120" w:after="120" w:line="240" w:lineRule="atLeast"/>
              <w:rPr>
                <w:rFonts w:ascii="Arial" w:eastAsia="Times New Roman" w:hAnsi="Arial" w:cs="Arial"/>
                <w:b w:val="0"/>
                <w:sz w:val="24"/>
                <w:szCs w:val="24"/>
                <w:lang w:eastAsia="en-NZ"/>
              </w:rPr>
            </w:pPr>
            <w:r w:rsidRPr="00AC49E7">
              <w:rPr>
                <w:rFonts w:ascii="Arial" w:eastAsia="Times New Roman" w:hAnsi="Arial" w:cs="Arial"/>
                <w:sz w:val="24"/>
                <w:szCs w:val="24"/>
                <w:lang w:eastAsia="en-NZ"/>
              </w:rPr>
              <w:t>Rotorua District (4755)</w:t>
            </w:r>
          </w:p>
        </w:tc>
        <w:tc>
          <w:tcPr>
            <w:tcW w:w="834" w:type="pct"/>
            <w:noWrap/>
            <w:hideMark/>
          </w:tcPr>
          <w:p w14:paraId="235AA8FD" w14:textId="3E6A15F6"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Waitaki District (72%)</w:t>
            </w:r>
          </w:p>
        </w:tc>
        <w:tc>
          <w:tcPr>
            <w:tcW w:w="834" w:type="pct"/>
            <w:noWrap/>
            <w:hideMark/>
          </w:tcPr>
          <w:p w14:paraId="6811A96E" w14:textId="5E22355A"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Lower Hutt City (2</w:t>
            </w:r>
            <w:r>
              <w:rPr>
                <w:rFonts w:ascii="Arial" w:eastAsia="Times New Roman" w:hAnsi="Arial" w:cs="Arial"/>
                <w:sz w:val="24"/>
                <w:szCs w:val="24"/>
                <w:lang w:eastAsia="en-NZ"/>
              </w:rPr>
              <w:t>,</w:t>
            </w:r>
            <w:r w:rsidRPr="00854696">
              <w:rPr>
                <w:rFonts w:ascii="Arial" w:eastAsia="Times New Roman" w:hAnsi="Arial" w:cs="Arial"/>
                <w:sz w:val="24"/>
                <w:szCs w:val="24"/>
                <w:lang w:eastAsia="en-NZ"/>
              </w:rPr>
              <w:t>223)</w:t>
            </w:r>
          </w:p>
        </w:tc>
        <w:tc>
          <w:tcPr>
            <w:tcW w:w="833" w:type="pct"/>
            <w:noWrap/>
            <w:hideMark/>
          </w:tcPr>
          <w:p w14:paraId="089DD1A8" w14:textId="6165B415"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Wellington City (17.05%)</w:t>
            </w:r>
          </w:p>
        </w:tc>
        <w:tc>
          <w:tcPr>
            <w:tcW w:w="834" w:type="pct"/>
            <w:noWrap/>
            <w:hideMark/>
          </w:tcPr>
          <w:p w14:paraId="2980D4B4" w14:textId="560A9687"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Hamilton City (4</w:t>
            </w:r>
            <w:r>
              <w:rPr>
                <w:rFonts w:ascii="Arial" w:eastAsia="Times New Roman" w:hAnsi="Arial" w:cs="Arial"/>
                <w:sz w:val="24"/>
                <w:szCs w:val="24"/>
                <w:lang w:eastAsia="en-NZ"/>
              </w:rPr>
              <w:t>,</w:t>
            </w:r>
            <w:r w:rsidRPr="00854696">
              <w:rPr>
                <w:rFonts w:ascii="Arial" w:eastAsia="Times New Roman" w:hAnsi="Arial" w:cs="Arial"/>
                <w:sz w:val="24"/>
                <w:szCs w:val="24"/>
                <w:lang w:eastAsia="en-NZ"/>
              </w:rPr>
              <w:t>521)</w:t>
            </w:r>
          </w:p>
        </w:tc>
        <w:tc>
          <w:tcPr>
            <w:tcW w:w="834" w:type="pct"/>
            <w:noWrap/>
            <w:hideMark/>
          </w:tcPr>
          <w:p w14:paraId="4E6CB97C" w14:textId="6F3DAC21"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Masterton District (16.76%)</w:t>
            </w:r>
          </w:p>
        </w:tc>
      </w:tr>
      <w:tr w:rsidR="00321DDF" w:rsidRPr="00423927" w14:paraId="5077B25D" w14:textId="77777777" w:rsidTr="00710711">
        <w:trPr>
          <w:trHeight w:val="250"/>
        </w:trPr>
        <w:tc>
          <w:tcPr>
            <w:cnfStyle w:val="001000000000" w:firstRow="0" w:lastRow="0" w:firstColumn="1" w:lastColumn="0" w:oddVBand="0" w:evenVBand="0" w:oddHBand="0" w:evenHBand="0" w:firstRowFirstColumn="0" w:firstRowLastColumn="0" w:lastRowFirstColumn="0" w:lastRowLastColumn="0"/>
            <w:tcW w:w="833" w:type="pct"/>
            <w:noWrap/>
            <w:hideMark/>
          </w:tcPr>
          <w:p w14:paraId="7D02E29A" w14:textId="2C016E31" w:rsidR="00321DDF" w:rsidRPr="00AC49E7" w:rsidRDefault="00321DDF" w:rsidP="008F03DF">
            <w:pPr>
              <w:spacing w:before="120" w:after="120" w:line="240" w:lineRule="atLeast"/>
              <w:rPr>
                <w:rFonts w:ascii="Arial" w:eastAsia="Times New Roman" w:hAnsi="Arial" w:cs="Arial"/>
                <w:b w:val="0"/>
                <w:sz w:val="24"/>
                <w:szCs w:val="24"/>
                <w:lang w:eastAsia="en-NZ"/>
              </w:rPr>
            </w:pPr>
            <w:r w:rsidRPr="00AC49E7">
              <w:rPr>
                <w:rFonts w:ascii="Arial" w:eastAsia="Times New Roman" w:hAnsi="Arial" w:cs="Arial"/>
                <w:sz w:val="24"/>
                <w:szCs w:val="24"/>
                <w:lang w:eastAsia="en-NZ"/>
              </w:rPr>
              <w:t>Far North District (4509)</w:t>
            </w:r>
          </w:p>
        </w:tc>
        <w:tc>
          <w:tcPr>
            <w:tcW w:w="834" w:type="pct"/>
            <w:noWrap/>
            <w:hideMark/>
          </w:tcPr>
          <w:p w14:paraId="72BC2740" w14:textId="4DED1F8C"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Wairoa District (66.18%)</w:t>
            </w:r>
          </w:p>
        </w:tc>
        <w:tc>
          <w:tcPr>
            <w:tcW w:w="834" w:type="pct"/>
            <w:noWrap/>
            <w:hideMark/>
          </w:tcPr>
          <w:p w14:paraId="373AC573" w14:textId="1AC14BE8"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Wellington City (2</w:t>
            </w:r>
            <w:r>
              <w:rPr>
                <w:rFonts w:ascii="Arial" w:eastAsia="Times New Roman" w:hAnsi="Arial" w:cs="Arial"/>
                <w:sz w:val="24"/>
                <w:szCs w:val="24"/>
                <w:lang w:eastAsia="en-NZ"/>
              </w:rPr>
              <w:t>,</w:t>
            </w:r>
            <w:r w:rsidRPr="00854696">
              <w:rPr>
                <w:rFonts w:ascii="Arial" w:eastAsia="Times New Roman" w:hAnsi="Arial" w:cs="Arial"/>
                <w:sz w:val="24"/>
                <w:szCs w:val="24"/>
                <w:lang w:eastAsia="en-NZ"/>
              </w:rPr>
              <w:t>163)</w:t>
            </w:r>
          </w:p>
        </w:tc>
        <w:tc>
          <w:tcPr>
            <w:tcW w:w="833" w:type="pct"/>
            <w:noWrap/>
            <w:hideMark/>
          </w:tcPr>
          <w:p w14:paraId="64B5A8B6" w14:textId="0489CBBE"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Napier City (11.96%)</w:t>
            </w:r>
          </w:p>
        </w:tc>
        <w:tc>
          <w:tcPr>
            <w:tcW w:w="834" w:type="pct"/>
            <w:noWrap/>
            <w:hideMark/>
          </w:tcPr>
          <w:p w14:paraId="28164973" w14:textId="5903162A"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Dunedin City (3</w:t>
            </w:r>
            <w:r>
              <w:rPr>
                <w:rFonts w:ascii="Arial" w:eastAsia="Times New Roman" w:hAnsi="Arial" w:cs="Arial"/>
                <w:sz w:val="24"/>
                <w:szCs w:val="24"/>
                <w:lang w:eastAsia="en-NZ"/>
              </w:rPr>
              <w:t>,</w:t>
            </w:r>
            <w:r w:rsidRPr="00854696">
              <w:rPr>
                <w:rFonts w:ascii="Arial" w:eastAsia="Times New Roman" w:hAnsi="Arial" w:cs="Arial"/>
                <w:sz w:val="24"/>
                <w:szCs w:val="24"/>
                <w:lang w:eastAsia="en-NZ"/>
              </w:rPr>
              <w:t>225)</w:t>
            </w:r>
          </w:p>
        </w:tc>
        <w:tc>
          <w:tcPr>
            <w:tcW w:w="834" w:type="pct"/>
            <w:noWrap/>
            <w:hideMark/>
          </w:tcPr>
          <w:p w14:paraId="7A0C99DD" w14:textId="5CC5CC68"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Selwyn District (16.42%)</w:t>
            </w:r>
          </w:p>
        </w:tc>
      </w:tr>
      <w:tr w:rsidR="00321DDF" w:rsidRPr="00423927" w14:paraId="41BD37AF" w14:textId="77777777" w:rsidTr="00710711">
        <w:trPr>
          <w:trHeight w:val="250"/>
        </w:trPr>
        <w:tc>
          <w:tcPr>
            <w:cnfStyle w:val="001000000000" w:firstRow="0" w:lastRow="0" w:firstColumn="1" w:lastColumn="0" w:oddVBand="0" w:evenVBand="0" w:oddHBand="0" w:evenHBand="0" w:firstRowFirstColumn="0" w:firstRowLastColumn="0" w:lastRowFirstColumn="0" w:lastRowLastColumn="0"/>
            <w:tcW w:w="833" w:type="pct"/>
            <w:noWrap/>
            <w:hideMark/>
          </w:tcPr>
          <w:p w14:paraId="1B027606" w14:textId="2B3FAC71" w:rsidR="00321DDF" w:rsidRPr="00AC49E7" w:rsidRDefault="00321DDF" w:rsidP="008F03DF">
            <w:pPr>
              <w:spacing w:before="120" w:after="120" w:line="240" w:lineRule="atLeast"/>
              <w:rPr>
                <w:rFonts w:ascii="Arial" w:eastAsia="Times New Roman" w:hAnsi="Arial" w:cs="Arial"/>
                <w:b w:val="0"/>
                <w:sz w:val="24"/>
                <w:szCs w:val="24"/>
                <w:lang w:eastAsia="en-NZ"/>
              </w:rPr>
            </w:pPr>
            <w:r w:rsidRPr="00AC49E7">
              <w:rPr>
                <w:rFonts w:ascii="Arial" w:eastAsia="Times New Roman" w:hAnsi="Arial" w:cs="Arial"/>
                <w:sz w:val="24"/>
                <w:szCs w:val="24"/>
                <w:lang w:eastAsia="en-NZ"/>
              </w:rPr>
              <w:t>Whangarei District (4332)</w:t>
            </w:r>
          </w:p>
        </w:tc>
        <w:tc>
          <w:tcPr>
            <w:tcW w:w="834" w:type="pct"/>
            <w:noWrap/>
            <w:hideMark/>
          </w:tcPr>
          <w:p w14:paraId="48768EA9" w14:textId="44C72BCA"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Whangarei District (64.89%)</w:t>
            </w:r>
          </w:p>
        </w:tc>
        <w:tc>
          <w:tcPr>
            <w:tcW w:w="834" w:type="pct"/>
            <w:noWrap/>
            <w:hideMark/>
          </w:tcPr>
          <w:p w14:paraId="074BB201" w14:textId="02F2C021"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Hamilton City (2</w:t>
            </w:r>
            <w:r>
              <w:rPr>
                <w:rFonts w:ascii="Arial" w:eastAsia="Times New Roman" w:hAnsi="Arial" w:cs="Arial"/>
                <w:sz w:val="24"/>
                <w:szCs w:val="24"/>
                <w:lang w:eastAsia="en-NZ"/>
              </w:rPr>
              <w:t>,</w:t>
            </w:r>
            <w:r w:rsidRPr="00854696">
              <w:rPr>
                <w:rFonts w:ascii="Arial" w:eastAsia="Times New Roman" w:hAnsi="Arial" w:cs="Arial"/>
                <w:sz w:val="24"/>
                <w:szCs w:val="24"/>
                <w:lang w:eastAsia="en-NZ"/>
              </w:rPr>
              <w:t>103)</w:t>
            </w:r>
          </w:p>
        </w:tc>
        <w:tc>
          <w:tcPr>
            <w:tcW w:w="833" w:type="pct"/>
            <w:noWrap/>
            <w:hideMark/>
          </w:tcPr>
          <w:p w14:paraId="7DF88436" w14:textId="35C1743A"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Far North District (11.79%)</w:t>
            </w:r>
          </w:p>
        </w:tc>
        <w:tc>
          <w:tcPr>
            <w:tcW w:w="834" w:type="pct"/>
            <w:noWrap/>
            <w:hideMark/>
          </w:tcPr>
          <w:p w14:paraId="41F50022" w14:textId="4037FA4E"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Lower Hutt City (1</w:t>
            </w:r>
            <w:r>
              <w:rPr>
                <w:rFonts w:ascii="Arial" w:eastAsia="Times New Roman" w:hAnsi="Arial" w:cs="Arial"/>
                <w:sz w:val="24"/>
                <w:szCs w:val="24"/>
                <w:lang w:eastAsia="en-NZ"/>
              </w:rPr>
              <w:t>,</w:t>
            </w:r>
            <w:r w:rsidRPr="00854696">
              <w:rPr>
                <w:rFonts w:ascii="Arial" w:eastAsia="Times New Roman" w:hAnsi="Arial" w:cs="Arial"/>
                <w:sz w:val="24"/>
                <w:szCs w:val="24"/>
                <w:lang w:eastAsia="en-NZ"/>
              </w:rPr>
              <w:t>926)</w:t>
            </w:r>
          </w:p>
        </w:tc>
        <w:tc>
          <w:tcPr>
            <w:tcW w:w="834" w:type="pct"/>
            <w:noWrap/>
            <w:hideMark/>
          </w:tcPr>
          <w:p w14:paraId="6F12DD35" w14:textId="3E8A6458"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Wellington City (14.77%)</w:t>
            </w:r>
          </w:p>
        </w:tc>
      </w:tr>
      <w:tr w:rsidR="00321DDF" w:rsidRPr="00423927" w14:paraId="399EBB57" w14:textId="77777777" w:rsidTr="00710711">
        <w:trPr>
          <w:trHeight w:val="250"/>
        </w:trPr>
        <w:tc>
          <w:tcPr>
            <w:cnfStyle w:val="001000000000" w:firstRow="0" w:lastRow="0" w:firstColumn="1" w:lastColumn="0" w:oddVBand="0" w:evenVBand="0" w:oddHBand="0" w:evenHBand="0" w:firstRowFirstColumn="0" w:firstRowLastColumn="0" w:lastRowFirstColumn="0" w:lastRowLastColumn="0"/>
            <w:tcW w:w="833" w:type="pct"/>
            <w:noWrap/>
            <w:hideMark/>
          </w:tcPr>
          <w:p w14:paraId="130E111D" w14:textId="5E384DEC" w:rsidR="00321DDF" w:rsidRPr="00AC49E7" w:rsidRDefault="00321DDF" w:rsidP="008F03DF">
            <w:pPr>
              <w:spacing w:before="120" w:after="120" w:line="240" w:lineRule="atLeast"/>
              <w:rPr>
                <w:rFonts w:ascii="Arial" w:eastAsia="Times New Roman" w:hAnsi="Arial" w:cs="Arial"/>
                <w:b w:val="0"/>
                <w:sz w:val="24"/>
                <w:szCs w:val="24"/>
                <w:lang w:eastAsia="en-NZ"/>
              </w:rPr>
            </w:pPr>
            <w:r w:rsidRPr="00AC49E7">
              <w:rPr>
                <w:rFonts w:ascii="Arial" w:eastAsia="Times New Roman" w:hAnsi="Arial" w:cs="Arial"/>
                <w:sz w:val="24"/>
                <w:szCs w:val="24"/>
                <w:lang w:eastAsia="en-NZ"/>
              </w:rPr>
              <w:t>Wellington City (4137)</w:t>
            </w:r>
          </w:p>
        </w:tc>
        <w:tc>
          <w:tcPr>
            <w:tcW w:w="834" w:type="pct"/>
            <w:noWrap/>
            <w:hideMark/>
          </w:tcPr>
          <w:p w14:paraId="1DB34587" w14:textId="23795695"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Pr>
                <w:rFonts w:ascii="Arial" w:eastAsia="Times New Roman" w:hAnsi="Arial" w:cs="Arial"/>
                <w:sz w:val="24"/>
                <w:szCs w:val="24"/>
                <w:lang w:eastAsia="en-NZ"/>
              </w:rPr>
              <w:t>K</w:t>
            </w:r>
            <w:r w:rsidRPr="00854696">
              <w:rPr>
                <w:rFonts w:ascii="Arial" w:eastAsia="Times New Roman" w:hAnsi="Arial" w:cs="Arial"/>
                <w:sz w:val="24"/>
                <w:szCs w:val="24"/>
                <w:lang w:eastAsia="en-NZ"/>
              </w:rPr>
              <w:t>awerau District (63.74%)</w:t>
            </w:r>
          </w:p>
        </w:tc>
        <w:tc>
          <w:tcPr>
            <w:tcW w:w="834" w:type="pct"/>
            <w:noWrap/>
            <w:hideMark/>
          </w:tcPr>
          <w:p w14:paraId="017F042B" w14:textId="5971697A"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Hastings District (1</w:t>
            </w:r>
            <w:r>
              <w:rPr>
                <w:rFonts w:ascii="Arial" w:eastAsia="Times New Roman" w:hAnsi="Arial" w:cs="Arial"/>
                <w:sz w:val="24"/>
                <w:szCs w:val="24"/>
                <w:lang w:eastAsia="en-NZ"/>
              </w:rPr>
              <w:t>,</w:t>
            </w:r>
            <w:r w:rsidRPr="00854696">
              <w:rPr>
                <w:rFonts w:ascii="Arial" w:eastAsia="Times New Roman" w:hAnsi="Arial" w:cs="Arial"/>
                <w:sz w:val="24"/>
                <w:szCs w:val="24"/>
                <w:lang w:eastAsia="en-NZ"/>
              </w:rPr>
              <w:t>182)</w:t>
            </w:r>
          </w:p>
        </w:tc>
        <w:tc>
          <w:tcPr>
            <w:tcW w:w="833" w:type="pct"/>
            <w:noWrap/>
            <w:hideMark/>
          </w:tcPr>
          <w:p w14:paraId="00CF9AF9" w14:textId="60BF58E6"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Kapiti Coast District (9.7%)</w:t>
            </w:r>
          </w:p>
        </w:tc>
        <w:tc>
          <w:tcPr>
            <w:tcW w:w="834" w:type="pct"/>
            <w:noWrap/>
            <w:hideMark/>
          </w:tcPr>
          <w:p w14:paraId="37790286" w14:textId="1C96ADC9"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Palmerston North City (1</w:t>
            </w:r>
            <w:r>
              <w:rPr>
                <w:rFonts w:ascii="Arial" w:eastAsia="Times New Roman" w:hAnsi="Arial" w:cs="Arial"/>
                <w:sz w:val="24"/>
                <w:szCs w:val="24"/>
                <w:lang w:eastAsia="en-NZ"/>
              </w:rPr>
              <w:t>,</w:t>
            </w:r>
            <w:r w:rsidRPr="00854696">
              <w:rPr>
                <w:rFonts w:ascii="Arial" w:eastAsia="Times New Roman" w:hAnsi="Arial" w:cs="Arial"/>
                <w:sz w:val="24"/>
                <w:szCs w:val="24"/>
                <w:lang w:eastAsia="en-NZ"/>
              </w:rPr>
              <w:t>893)</w:t>
            </w:r>
          </w:p>
        </w:tc>
        <w:tc>
          <w:tcPr>
            <w:tcW w:w="834" w:type="pct"/>
            <w:noWrap/>
            <w:hideMark/>
          </w:tcPr>
          <w:p w14:paraId="38629945" w14:textId="5B95C4E5"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proofErr w:type="spellStart"/>
            <w:r w:rsidRPr="00854696">
              <w:rPr>
                <w:rFonts w:ascii="Arial" w:eastAsia="Times New Roman" w:hAnsi="Arial" w:cs="Arial"/>
                <w:sz w:val="24"/>
                <w:szCs w:val="24"/>
                <w:lang w:eastAsia="en-NZ"/>
              </w:rPr>
              <w:t>Tararua</w:t>
            </w:r>
            <w:proofErr w:type="spellEnd"/>
            <w:r w:rsidRPr="00854696">
              <w:rPr>
                <w:rFonts w:ascii="Arial" w:eastAsia="Times New Roman" w:hAnsi="Arial" w:cs="Arial"/>
                <w:sz w:val="24"/>
                <w:szCs w:val="24"/>
                <w:lang w:eastAsia="en-NZ"/>
              </w:rPr>
              <w:t xml:space="preserve"> District (13.22%)</w:t>
            </w:r>
          </w:p>
        </w:tc>
      </w:tr>
      <w:tr w:rsidR="00321DDF" w:rsidRPr="00423927" w14:paraId="5766C347" w14:textId="77777777" w:rsidTr="00710711">
        <w:trPr>
          <w:trHeight w:val="250"/>
        </w:trPr>
        <w:tc>
          <w:tcPr>
            <w:cnfStyle w:val="001000000000" w:firstRow="0" w:lastRow="0" w:firstColumn="1" w:lastColumn="0" w:oddVBand="0" w:evenVBand="0" w:oddHBand="0" w:evenHBand="0" w:firstRowFirstColumn="0" w:firstRowLastColumn="0" w:lastRowFirstColumn="0" w:lastRowLastColumn="0"/>
            <w:tcW w:w="833" w:type="pct"/>
            <w:noWrap/>
            <w:hideMark/>
          </w:tcPr>
          <w:p w14:paraId="1985D931" w14:textId="1BAF6CF8" w:rsidR="00321DDF" w:rsidRPr="00AC49E7" w:rsidRDefault="00321DDF" w:rsidP="008F03DF">
            <w:pPr>
              <w:spacing w:before="120" w:after="120" w:line="240" w:lineRule="atLeast"/>
              <w:rPr>
                <w:rFonts w:ascii="Arial" w:eastAsia="Times New Roman" w:hAnsi="Arial" w:cs="Arial"/>
                <w:b w:val="0"/>
                <w:sz w:val="24"/>
                <w:szCs w:val="24"/>
                <w:lang w:eastAsia="en-NZ"/>
              </w:rPr>
            </w:pPr>
            <w:r w:rsidRPr="00AC49E7">
              <w:rPr>
                <w:rFonts w:ascii="Arial" w:eastAsia="Times New Roman" w:hAnsi="Arial" w:cs="Arial"/>
                <w:sz w:val="24"/>
                <w:szCs w:val="24"/>
                <w:lang w:eastAsia="en-NZ"/>
              </w:rPr>
              <w:t>Tauranga City (4053)</w:t>
            </w:r>
          </w:p>
        </w:tc>
        <w:tc>
          <w:tcPr>
            <w:tcW w:w="834" w:type="pct"/>
            <w:noWrap/>
            <w:hideMark/>
          </w:tcPr>
          <w:p w14:paraId="3EE9E572" w14:textId="33F42F86"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Whanganui District (60.35%)</w:t>
            </w:r>
          </w:p>
        </w:tc>
        <w:tc>
          <w:tcPr>
            <w:tcW w:w="834" w:type="pct"/>
            <w:noWrap/>
            <w:hideMark/>
          </w:tcPr>
          <w:p w14:paraId="2E142C8B" w14:textId="3F9996DD"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Dunedin City (1</w:t>
            </w:r>
            <w:r>
              <w:rPr>
                <w:rFonts w:ascii="Arial" w:eastAsia="Times New Roman" w:hAnsi="Arial" w:cs="Arial"/>
                <w:sz w:val="24"/>
                <w:szCs w:val="24"/>
                <w:lang w:eastAsia="en-NZ"/>
              </w:rPr>
              <w:t>,</w:t>
            </w:r>
            <w:r w:rsidRPr="00854696">
              <w:rPr>
                <w:rFonts w:ascii="Arial" w:eastAsia="Times New Roman" w:hAnsi="Arial" w:cs="Arial"/>
                <w:sz w:val="24"/>
                <w:szCs w:val="24"/>
                <w:lang w:eastAsia="en-NZ"/>
              </w:rPr>
              <w:t>173)</w:t>
            </w:r>
          </w:p>
        </w:tc>
        <w:tc>
          <w:tcPr>
            <w:tcW w:w="833" w:type="pct"/>
            <w:noWrap/>
            <w:hideMark/>
          </w:tcPr>
          <w:p w14:paraId="56FD9A13" w14:textId="023D6C16"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Lower Hutt City (8.46%)</w:t>
            </w:r>
          </w:p>
        </w:tc>
        <w:tc>
          <w:tcPr>
            <w:tcW w:w="834" w:type="pct"/>
            <w:noWrap/>
            <w:hideMark/>
          </w:tcPr>
          <w:p w14:paraId="5A0CB2FA" w14:textId="0817A60D"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Tauranga City (1</w:t>
            </w:r>
            <w:r>
              <w:rPr>
                <w:rFonts w:ascii="Arial" w:eastAsia="Times New Roman" w:hAnsi="Arial" w:cs="Arial"/>
                <w:sz w:val="24"/>
                <w:szCs w:val="24"/>
                <w:lang w:eastAsia="en-NZ"/>
              </w:rPr>
              <w:t>,</w:t>
            </w:r>
            <w:r w:rsidRPr="00854696">
              <w:rPr>
                <w:rFonts w:ascii="Arial" w:eastAsia="Times New Roman" w:hAnsi="Arial" w:cs="Arial"/>
                <w:sz w:val="24"/>
                <w:szCs w:val="24"/>
                <w:lang w:eastAsia="en-NZ"/>
              </w:rPr>
              <w:t>470)</w:t>
            </w:r>
          </w:p>
        </w:tc>
        <w:tc>
          <w:tcPr>
            <w:tcW w:w="834" w:type="pct"/>
            <w:noWrap/>
            <w:hideMark/>
          </w:tcPr>
          <w:p w14:paraId="343B0620" w14:textId="0E49FFB2"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Clutha District (12.63%)</w:t>
            </w:r>
          </w:p>
        </w:tc>
      </w:tr>
      <w:tr w:rsidR="00321DDF" w:rsidRPr="00423927" w14:paraId="242DC1AB" w14:textId="77777777" w:rsidTr="00710711">
        <w:trPr>
          <w:trHeight w:val="250"/>
        </w:trPr>
        <w:tc>
          <w:tcPr>
            <w:cnfStyle w:val="001000000000" w:firstRow="0" w:lastRow="0" w:firstColumn="1" w:lastColumn="0" w:oddVBand="0" w:evenVBand="0" w:oddHBand="0" w:evenHBand="0" w:firstRowFirstColumn="0" w:firstRowLastColumn="0" w:lastRowFirstColumn="0" w:lastRowLastColumn="0"/>
            <w:tcW w:w="833" w:type="pct"/>
            <w:noWrap/>
            <w:hideMark/>
          </w:tcPr>
          <w:p w14:paraId="1C5E69D7" w14:textId="47E305DD" w:rsidR="00321DDF" w:rsidRPr="00AC49E7" w:rsidRDefault="00321DDF" w:rsidP="008F03DF">
            <w:pPr>
              <w:spacing w:before="120" w:after="120" w:line="240" w:lineRule="atLeast"/>
              <w:rPr>
                <w:rFonts w:ascii="Arial" w:eastAsia="Times New Roman" w:hAnsi="Arial" w:cs="Arial"/>
                <w:b w:val="0"/>
                <w:sz w:val="24"/>
                <w:szCs w:val="24"/>
                <w:lang w:eastAsia="en-NZ"/>
              </w:rPr>
            </w:pPr>
            <w:r w:rsidRPr="00AC49E7">
              <w:rPr>
                <w:rFonts w:ascii="Arial" w:eastAsia="Times New Roman" w:hAnsi="Arial" w:cs="Arial"/>
                <w:sz w:val="24"/>
                <w:szCs w:val="24"/>
                <w:lang w:eastAsia="en-NZ"/>
              </w:rPr>
              <w:t>Gisborne District (3864)</w:t>
            </w:r>
          </w:p>
        </w:tc>
        <w:tc>
          <w:tcPr>
            <w:tcW w:w="834" w:type="pct"/>
            <w:noWrap/>
            <w:hideMark/>
          </w:tcPr>
          <w:p w14:paraId="6D0F17EC" w14:textId="5EF17F29"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6816A9">
              <w:rPr>
                <w:rFonts w:ascii="Arial" w:eastAsia="Times New Roman" w:hAnsi="Arial" w:cs="Arial"/>
                <w:sz w:val="24"/>
                <w:szCs w:val="24"/>
                <w:lang w:eastAsia="en-NZ"/>
              </w:rPr>
              <w:t xml:space="preserve"> </w:t>
            </w:r>
            <w:r>
              <w:rPr>
                <w:rFonts w:ascii="Arial" w:eastAsia="Times New Roman" w:hAnsi="Arial" w:cs="Arial"/>
                <w:sz w:val="24"/>
                <w:szCs w:val="24"/>
                <w:lang w:eastAsia="en-NZ"/>
              </w:rPr>
              <w:t>T</w:t>
            </w:r>
            <w:r w:rsidRPr="00854696">
              <w:rPr>
                <w:rFonts w:ascii="Arial" w:eastAsia="Times New Roman" w:hAnsi="Arial" w:cs="Arial"/>
                <w:sz w:val="24"/>
                <w:szCs w:val="24"/>
                <w:lang w:eastAsia="en-NZ"/>
              </w:rPr>
              <w:t>aupo District (59.73%)</w:t>
            </w:r>
          </w:p>
        </w:tc>
        <w:tc>
          <w:tcPr>
            <w:tcW w:w="834" w:type="pct"/>
            <w:noWrap/>
            <w:hideMark/>
          </w:tcPr>
          <w:p w14:paraId="7715A920" w14:textId="71A829F9"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Palmerston North City (912)</w:t>
            </w:r>
          </w:p>
        </w:tc>
        <w:tc>
          <w:tcPr>
            <w:tcW w:w="833" w:type="pct"/>
            <w:noWrap/>
            <w:hideMark/>
          </w:tcPr>
          <w:p w14:paraId="15061C26" w14:textId="5B5F2CBE"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Manawatu District (8.42%)</w:t>
            </w:r>
          </w:p>
        </w:tc>
        <w:tc>
          <w:tcPr>
            <w:tcW w:w="834" w:type="pct"/>
            <w:noWrap/>
            <w:hideMark/>
          </w:tcPr>
          <w:p w14:paraId="2672AA75" w14:textId="6D445574"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Rotorua District (915)</w:t>
            </w:r>
          </w:p>
        </w:tc>
        <w:tc>
          <w:tcPr>
            <w:tcW w:w="834" w:type="pct"/>
            <w:noWrap/>
            <w:hideMark/>
          </w:tcPr>
          <w:p w14:paraId="18021D61" w14:textId="718F3A93"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Dunedin City (12.39%)</w:t>
            </w:r>
          </w:p>
        </w:tc>
      </w:tr>
      <w:tr w:rsidR="00321DDF" w:rsidRPr="00423927" w14:paraId="46E66492" w14:textId="77777777" w:rsidTr="00710711">
        <w:trPr>
          <w:trHeight w:val="250"/>
        </w:trPr>
        <w:tc>
          <w:tcPr>
            <w:cnfStyle w:val="001000000000" w:firstRow="0" w:lastRow="0" w:firstColumn="1" w:lastColumn="0" w:oddVBand="0" w:evenVBand="0" w:oddHBand="0" w:evenHBand="0" w:firstRowFirstColumn="0" w:firstRowLastColumn="0" w:lastRowFirstColumn="0" w:lastRowLastColumn="0"/>
            <w:tcW w:w="833" w:type="pct"/>
            <w:noWrap/>
            <w:hideMark/>
          </w:tcPr>
          <w:p w14:paraId="0A6B9624" w14:textId="5487BF93" w:rsidR="00321DDF" w:rsidRPr="00AC49E7" w:rsidRDefault="00321DDF" w:rsidP="008F03DF">
            <w:pPr>
              <w:spacing w:before="120" w:after="120" w:line="240" w:lineRule="atLeast"/>
              <w:rPr>
                <w:rFonts w:ascii="Arial" w:eastAsia="Times New Roman" w:hAnsi="Arial" w:cs="Arial"/>
                <w:b w:val="0"/>
                <w:sz w:val="24"/>
                <w:szCs w:val="24"/>
                <w:lang w:eastAsia="en-NZ"/>
              </w:rPr>
            </w:pPr>
            <w:r w:rsidRPr="00AC49E7">
              <w:rPr>
                <w:rFonts w:ascii="Arial" w:eastAsia="Times New Roman" w:hAnsi="Arial" w:cs="Arial"/>
                <w:sz w:val="24"/>
                <w:szCs w:val="24"/>
                <w:lang w:eastAsia="en-NZ"/>
              </w:rPr>
              <w:t>Hastings District (3699)</w:t>
            </w:r>
          </w:p>
        </w:tc>
        <w:tc>
          <w:tcPr>
            <w:tcW w:w="834" w:type="pct"/>
            <w:noWrap/>
            <w:hideMark/>
          </w:tcPr>
          <w:p w14:paraId="5C6B8E76" w14:textId="76CD583F"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Whakatane District (52.17%)</w:t>
            </w:r>
          </w:p>
        </w:tc>
        <w:tc>
          <w:tcPr>
            <w:tcW w:w="834" w:type="pct"/>
            <w:noWrap/>
            <w:hideMark/>
          </w:tcPr>
          <w:p w14:paraId="2545253A" w14:textId="3EBF4DAA"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Tauranga City (708)</w:t>
            </w:r>
          </w:p>
        </w:tc>
        <w:tc>
          <w:tcPr>
            <w:tcW w:w="833" w:type="pct"/>
            <w:noWrap/>
            <w:hideMark/>
          </w:tcPr>
          <w:p w14:paraId="68B1EC2C" w14:textId="4C13586F"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proofErr w:type="spellStart"/>
            <w:r w:rsidRPr="00854696">
              <w:rPr>
                <w:rFonts w:ascii="Arial" w:eastAsia="Times New Roman" w:hAnsi="Arial" w:cs="Arial"/>
                <w:sz w:val="24"/>
                <w:szCs w:val="24"/>
                <w:lang w:eastAsia="en-NZ"/>
              </w:rPr>
              <w:t>Waipa</w:t>
            </w:r>
            <w:proofErr w:type="spellEnd"/>
            <w:r w:rsidRPr="00854696">
              <w:rPr>
                <w:rFonts w:ascii="Arial" w:eastAsia="Times New Roman" w:hAnsi="Arial" w:cs="Arial"/>
                <w:sz w:val="24"/>
                <w:szCs w:val="24"/>
                <w:lang w:eastAsia="en-NZ"/>
              </w:rPr>
              <w:t xml:space="preserve"> District (8.03%)</w:t>
            </w:r>
          </w:p>
        </w:tc>
        <w:tc>
          <w:tcPr>
            <w:tcW w:w="834" w:type="pct"/>
            <w:noWrap/>
            <w:hideMark/>
          </w:tcPr>
          <w:p w14:paraId="0CBE467A" w14:textId="1D3486D3" w:rsidR="00321DDF" w:rsidRPr="00854696" w:rsidRDefault="00321DDF" w:rsidP="008F03DF">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Hastings District (678)</w:t>
            </w:r>
          </w:p>
        </w:tc>
        <w:tc>
          <w:tcPr>
            <w:tcW w:w="834" w:type="pct"/>
            <w:noWrap/>
            <w:hideMark/>
          </w:tcPr>
          <w:p w14:paraId="7AA27EC6" w14:textId="032500BB" w:rsidR="00321DDF" w:rsidRPr="00854696" w:rsidRDefault="00321DDF" w:rsidP="00BA6F26">
            <w:pPr>
              <w:keepNext/>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NZ"/>
              </w:rPr>
            </w:pPr>
            <w:r w:rsidRPr="00854696">
              <w:rPr>
                <w:rFonts w:ascii="Arial" w:eastAsia="Times New Roman" w:hAnsi="Arial" w:cs="Arial"/>
                <w:sz w:val="24"/>
                <w:szCs w:val="24"/>
                <w:lang w:eastAsia="en-NZ"/>
              </w:rPr>
              <w:t>Tauranga City (10.74%)</w:t>
            </w:r>
          </w:p>
        </w:tc>
      </w:tr>
    </w:tbl>
    <w:p w14:paraId="2B56F698" w14:textId="005B93B6" w:rsidR="00BA6F26" w:rsidRPr="00BA6F26" w:rsidRDefault="00BA6F26">
      <w:pPr>
        <w:pStyle w:val="Caption"/>
        <w:rPr>
          <w:rFonts w:ascii="Arial" w:hAnsi="Arial" w:cs="Arial"/>
          <w:i w:val="0"/>
          <w:color w:val="auto"/>
        </w:rPr>
      </w:pPr>
      <w:r w:rsidRPr="00BA6F26">
        <w:rPr>
          <w:rFonts w:ascii="Arial" w:hAnsi="Arial" w:cs="Arial"/>
          <w:i w:val="0"/>
          <w:color w:val="auto"/>
        </w:rPr>
        <w:t xml:space="preserve">Source: </w:t>
      </w:r>
      <w:proofErr w:type="spellStart"/>
      <w:r w:rsidRPr="00BA6F26">
        <w:rPr>
          <w:rFonts w:ascii="Arial" w:hAnsi="Arial" w:cs="Arial"/>
          <w:i w:val="0"/>
          <w:color w:val="auto"/>
        </w:rPr>
        <w:t>StatsNZ</w:t>
      </w:r>
      <w:proofErr w:type="spellEnd"/>
      <w:r w:rsidRPr="00BA6F26">
        <w:rPr>
          <w:rFonts w:ascii="Arial" w:hAnsi="Arial" w:cs="Arial"/>
          <w:i w:val="0"/>
          <w:color w:val="auto"/>
        </w:rPr>
        <w:t xml:space="preserve"> Census 2018</w:t>
      </w:r>
    </w:p>
    <w:p w14:paraId="0FAD0B96" w14:textId="77777777" w:rsidR="004008E2" w:rsidRPr="009D14F4" w:rsidRDefault="004008E2" w:rsidP="00BA6F26">
      <w:pPr>
        <w:pStyle w:val="Heading3"/>
        <w:keepNext/>
        <w:spacing w:before="120" w:after="120" w:line="240" w:lineRule="atLeast"/>
      </w:pPr>
      <w:r w:rsidRPr="00710711">
        <w:rPr>
          <w:color w:val="365F91" w:themeColor="accent1" w:themeShade="BF"/>
        </w:rPr>
        <w:lastRenderedPageBreak/>
        <w:t>Educational achievement and outcomes</w:t>
      </w:r>
      <w:r w:rsidR="00E21ED5" w:rsidRPr="00710711">
        <w:rPr>
          <w:color w:val="365F91" w:themeColor="accent1" w:themeShade="BF"/>
        </w:rPr>
        <w:t xml:space="preserve"> for young people</w:t>
      </w:r>
    </w:p>
    <w:p w14:paraId="7CA22519" w14:textId="65630D55" w:rsidR="003E75FF" w:rsidRPr="00AF6E4F" w:rsidRDefault="003E75FF" w:rsidP="008F03DF">
      <w:pPr>
        <w:pStyle w:val="ListParagraph"/>
        <w:numPr>
          <w:ilvl w:val="0"/>
          <w:numId w:val="39"/>
        </w:numPr>
        <w:spacing w:before="120" w:after="120" w:line="240" w:lineRule="atLeast"/>
        <w:ind w:left="567" w:hanging="567"/>
        <w:contextualSpacing w:val="0"/>
        <w:rPr>
          <w:rFonts w:ascii="Arial" w:hAnsi="Arial" w:cs="Arial"/>
          <w:color w:val="414042"/>
          <w:sz w:val="24"/>
          <w:szCs w:val="24"/>
          <w:shd w:val="clear" w:color="auto" w:fill="FFFFFF"/>
        </w:rPr>
      </w:pPr>
      <w:r w:rsidRPr="00AF6E4F">
        <w:rPr>
          <w:rFonts w:ascii="Arial" w:hAnsi="Arial" w:cs="Arial"/>
          <w:sz w:val="24"/>
          <w:szCs w:val="24"/>
        </w:rPr>
        <w:t xml:space="preserve">Education </w:t>
      </w:r>
      <w:r w:rsidR="00390203">
        <w:rPr>
          <w:rFonts w:ascii="Arial" w:hAnsi="Arial" w:cs="Arial"/>
          <w:sz w:val="24"/>
          <w:szCs w:val="24"/>
        </w:rPr>
        <w:t xml:space="preserve">can </w:t>
      </w:r>
      <w:r w:rsidRPr="00AF6E4F">
        <w:rPr>
          <w:rFonts w:ascii="Arial" w:hAnsi="Arial" w:cs="Arial"/>
          <w:sz w:val="24"/>
          <w:szCs w:val="24"/>
        </w:rPr>
        <w:t>equip young people with the skills and competencies they need for life, and for participating in the labour market. While New Zealand’s school system performs very well for many students</w:t>
      </w:r>
      <w:r w:rsidR="00390203">
        <w:rPr>
          <w:rFonts w:ascii="Arial" w:hAnsi="Arial" w:cs="Arial"/>
          <w:sz w:val="24"/>
          <w:szCs w:val="24"/>
        </w:rPr>
        <w:t>,</w:t>
      </w:r>
      <w:r w:rsidRPr="00AF6E4F">
        <w:rPr>
          <w:rFonts w:ascii="Arial" w:hAnsi="Arial" w:cs="Arial"/>
          <w:sz w:val="24"/>
          <w:szCs w:val="24"/>
        </w:rPr>
        <w:t xml:space="preserve"> it does not perform well for everyone. A significant proportion of Māori and Pacific young people from low socio-economic backgrounds, and students with additional learning needs</w:t>
      </w:r>
      <w:r w:rsidR="00260148">
        <w:rPr>
          <w:rFonts w:ascii="Arial" w:hAnsi="Arial" w:cs="Arial"/>
          <w:sz w:val="24"/>
          <w:szCs w:val="24"/>
        </w:rPr>
        <w:t>,</w:t>
      </w:r>
      <w:r w:rsidRPr="00AF6E4F">
        <w:rPr>
          <w:rFonts w:ascii="Arial" w:hAnsi="Arial" w:cs="Arial"/>
          <w:sz w:val="24"/>
          <w:szCs w:val="24"/>
        </w:rPr>
        <w:t xml:space="preserve"> are not seeing the benefits of education at all levels. </w:t>
      </w:r>
    </w:p>
    <w:p w14:paraId="4E97D719" w14:textId="56805A62" w:rsidR="006E396F" w:rsidRDefault="00611629" w:rsidP="008F03DF">
      <w:pPr>
        <w:pStyle w:val="ListParagraph"/>
        <w:numPr>
          <w:ilvl w:val="0"/>
          <w:numId w:val="39"/>
        </w:numPr>
        <w:spacing w:before="120" w:after="120" w:line="240" w:lineRule="atLeast"/>
        <w:ind w:left="567" w:hanging="567"/>
        <w:contextualSpacing w:val="0"/>
        <w:rPr>
          <w:rFonts w:ascii="Arial" w:hAnsi="Arial" w:cs="Arial"/>
          <w:sz w:val="24"/>
          <w:szCs w:val="24"/>
        </w:rPr>
      </w:pPr>
      <w:r>
        <w:rPr>
          <w:rFonts w:ascii="Arial" w:hAnsi="Arial" w:cs="Arial"/>
          <w:sz w:val="24"/>
          <w:szCs w:val="24"/>
        </w:rPr>
        <w:t xml:space="preserve">Research shows that attending (and staying in) school and attaining qualifications are protective factors to young people not becoming at risk of limited employment. The headline measures for these factors have both been declining in recent years for the total population and are worse for some groups. Additionally, modelling shows that lower educational attainment levels are one of the risk factors contributing to a higher likelihood for people to stay on benefit for longer periods of time. </w:t>
      </w:r>
      <w:r w:rsidR="00F47956">
        <w:rPr>
          <w:rFonts w:ascii="Arial" w:hAnsi="Arial" w:cs="Arial"/>
          <w:sz w:val="24"/>
          <w:szCs w:val="24"/>
        </w:rPr>
        <w:t>The graphs below</w:t>
      </w:r>
      <w:r w:rsidR="006E396F" w:rsidRPr="00AF6E4F">
        <w:rPr>
          <w:rFonts w:ascii="Arial" w:hAnsi="Arial" w:cs="Arial"/>
          <w:sz w:val="24"/>
          <w:szCs w:val="24"/>
        </w:rPr>
        <w:t xml:space="preserve"> show that NCEA level 2 attainment rates, and literacy and numeracy </w:t>
      </w:r>
      <w:r w:rsidR="006E396F">
        <w:rPr>
          <w:rFonts w:ascii="Arial" w:hAnsi="Arial" w:cs="Arial"/>
          <w:sz w:val="24"/>
          <w:szCs w:val="24"/>
        </w:rPr>
        <w:t xml:space="preserve">achievement </w:t>
      </w:r>
      <w:r w:rsidR="006E396F" w:rsidRPr="00AF6E4F">
        <w:rPr>
          <w:rFonts w:ascii="Arial" w:hAnsi="Arial" w:cs="Arial"/>
          <w:sz w:val="24"/>
          <w:szCs w:val="24"/>
        </w:rPr>
        <w:t xml:space="preserve">have plateaued, and </w:t>
      </w:r>
      <w:r w:rsidR="00245F8E">
        <w:rPr>
          <w:rFonts w:ascii="Arial" w:hAnsi="Arial" w:cs="Arial"/>
          <w:sz w:val="24"/>
          <w:szCs w:val="24"/>
        </w:rPr>
        <w:t>have</w:t>
      </w:r>
      <w:r w:rsidR="00245F8E" w:rsidRPr="00AF6E4F">
        <w:rPr>
          <w:rFonts w:ascii="Arial" w:hAnsi="Arial" w:cs="Arial"/>
          <w:sz w:val="24"/>
          <w:szCs w:val="24"/>
        </w:rPr>
        <w:t xml:space="preserve"> </w:t>
      </w:r>
      <w:r w:rsidR="006E396F" w:rsidRPr="00AF6E4F">
        <w:rPr>
          <w:rFonts w:ascii="Arial" w:hAnsi="Arial" w:cs="Arial"/>
          <w:sz w:val="24"/>
          <w:szCs w:val="24"/>
        </w:rPr>
        <w:t>show</w:t>
      </w:r>
      <w:r w:rsidR="00245F8E">
        <w:rPr>
          <w:rFonts w:ascii="Arial" w:hAnsi="Arial" w:cs="Arial"/>
          <w:sz w:val="24"/>
          <w:szCs w:val="24"/>
        </w:rPr>
        <w:t>n</w:t>
      </w:r>
      <w:r w:rsidR="006E396F" w:rsidRPr="00AF6E4F">
        <w:rPr>
          <w:rFonts w:ascii="Arial" w:hAnsi="Arial" w:cs="Arial"/>
          <w:sz w:val="24"/>
          <w:szCs w:val="24"/>
        </w:rPr>
        <w:t xml:space="preserve"> slight declines in recent years.</w:t>
      </w:r>
      <w:r w:rsidR="006E396F">
        <w:rPr>
          <w:rFonts w:ascii="Arial" w:hAnsi="Arial" w:cs="Arial"/>
          <w:sz w:val="24"/>
          <w:szCs w:val="24"/>
        </w:rPr>
        <w:t xml:space="preserve"> Disparities by gender and ethnicity are persistent. </w:t>
      </w:r>
      <w:r w:rsidR="006E396F" w:rsidRPr="00AF6E4F">
        <w:rPr>
          <w:rFonts w:ascii="Arial" w:hAnsi="Arial" w:cs="Arial"/>
          <w:sz w:val="24"/>
          <w:szCs w:val="24"/>
        </w:rPr>
        <w:t xml:space="preserve">Further, the </w:t>
      </w:r>
      <w:r w:rsidR="00F5235E">
        <w:rPr>
          <w:rFonts w:ascii="Arial" w:hAnsi="Arial" w:cs="Arial"/>
          <w:sz w:val="24"/>
          <w:szCs w:val="24"/>
        </w:rPr>
        <w:t xml:space="preserve">results from the OECD </w:t>
      </w:r>
      <w:r w:rsidR="00F5235E" w:rsidRPr="00F5235E">
        <w:rPr>
          <w:rFonts w:ascii="Arial" w:hAnsi="Arial" w:cs="Arial"/>
          <w:sz w:val="24"/>
          <w:szCs w:val="24"/>
        </w:rPr>
        <w:t>Programme for International Student Assessment</w:t>
      </w:r>
      <w:r w:rsidR="00F5235E">
        <w:rPr>
          <w:rFonts w:ascii="Arial" w:hAnsi="Arial" w:cs="Arial"/>
          <w:sz w:val="24"/>
          <w:szCs w:val="24"/>
        </w:rPr>
        <w:t xml:space="preserve"> (PISA)</w:t>
      </w:r>
      <w:r w:rsidR="006E396F" w:rsidRPr="00AF6E4F">
        <w:rPr>
          <w:rFonts w:ascii="Arial" w:hAnsi="Arial" w:cs="Arial"/>
          <w:sz w:val="24"/>
          <w:szCs w:val="24"/>
        </w:rPr>
        <w:t xml:space="preserve"> indicate that the math</w:t>
      </w:r>
      <w:r w:rsidR="00F47956">
        <w:rPr>
          <w:rFonts w:ascii="Arial" w:hAnsi="Arial" w:cs="Arial"/>
          <w:sz w:val="24"/>
          <w:szCs w:val="24"/>
        </w:rPr>
        <w:t>s</w:t>
      </w:r>
      <w:r w:rsidR="006E396F" w:rsidRPr="00AF6E4F">
        <w:rPr>
          <w:rFonts w:ascii="Arial" w:hAnsi="Arial" w:cs="Arial"/>
          <w:sz w:val="24"/>
          <w:szCs w:val="24"/>
        </w:rPr>
        <w:t xml:space="preserve"> and reading levels of </w:t>
      </w:r>
      <w:r w:rsidR="00F5235E">
        <w:rPr>
          <w:rFonts w:ascii="Arial" w:hAnsi="Arial" w:cs="Arial"/>
          <w:sz w:val="24"/>
          <w:szCs w:val="24"/>
        </w:rPr>
        <w:t>New Zealand</w:t>
      </w:r>
      <w:r w:rsidR="006E396F" w:rsidRPr="00AF6E4F">
        <w:rPr>
          <w:rFonts w:ascii="Arial" w:hAnsi="Arial" w:cs="Arial"/>
          <w:sz w:val="24"/>
          <w:szCs w:val="24"/>
        </w:rPr>
        <w:t xml:space="preserve"> students have been dec</w:t>
      </w:r>
      <w:r w:rsidR="00F47956">
        <w:rPr>
          <w:rFonts w:ascii="Arial" w:hAnsi="Arial" w:cs="Arial"/>
          <w:sz w:val="24"/>
          <w:szCs w:val="24"/>
        </w:rPr>
        <w:t xml:space="preserve">reasing over </w:t>
      </w:r>
      <w:proofErr w:type="gramStart"/>
      <w:r w:rsidR="00F47956">
        <w:rPr>
          <w:rFonts w:ascii="Arial" w:hAnsi="Arial" w:cs="Arial"/>
          <w:sz w:val="24"/>
          <w:szCs w:val="24"/>
        </w:rPr>
        <w:t>a number of</w:t>
      </w:r>
      <w:proofErr w:type="gramEnd"/>
      <w:r w:rsidR="00F47956">
        <w:rPr>
          <w:rFonts w:ascii="Arial" w:hAnsi="Arial" w:cs="Arial"/>
          <w:sz w:val="24"/>
          <w:szCs w:val="24"/>
        </w:rPr>
        <w:t xml:space="preserve"> years.</w:t>
      </w:r>
      <w:r w:rsidR="00F47956">
        <w:rPr>
          <w:rStyle w:val="FootnoteReference"/>
          <w:rFonts w:ascii="Arial" w:hAnsi="Arial" w:cs="Arial"/>
          <w:sz w:val="24"/>
          <w:szCs w:val="24"/>
        </w:rPr>
        <w:footnoteReference w:id="1"/>
      </w:r>
    </w:p>
    <w:p w14:paraId="3223C12F" w14:textId="77777777" w:rsidR="006E396F" w:rsidRDefault="006E396F" w:rsidP="008F03DF">
      <w:pPr>
        <w:keepNext/>
        <w:spacing w:before="120" w:after="120" w:line="240" w:lineRule="atLeast"/>
        <w:rPr>
          <w:rStyle w:val="Strong"/>
          <w:rFonts w:ascii="Arial" w:hAnsi="Arial"/>
          <w:i w:val="0"/>
          <w:color w:val="414042"/>
          <w:sz w:val="24"/>
          <w:shd w:val="clear" w:color="auto" w:fill="FFFFFF"/>
        </w:rPr>
      </w:pPr>
      <w:r w:rsidRPr="00FA05A9">
        <w:rPr>
          <w:rStyle w:val="Strong"/>
          <w:rFonts w:ascii="Arial" w:hAnsi="Arial"/>
          <w:i w:val="0"/>
          <w:color w:val="414042"/>
          <w:sz w:val="24"/>
          <w:shd w:val="clear" w:color="auto" w:fill="FFFFFF"/>
        </w:rPr>
        <w:t xml:space="preserve">Percentage of </w:t>
      </w:r>
      <w:r>
        <w:rPr>
          <w:rStyle w:val="Strong"/>
          <w:rFonts w:ascii="Arial" w:hAnsi="Arial"/>
          <w:i w:val="0"/>
          <w:color w:val="414042"/>
          <w:sz w:val="24"/>
          <w:shd w:val="clear" w:color="auto" w:fill="FFFFFF"/>
        </w:rPr>
        <w:t xml:space="preserve">18-year olds </w:t>
      </w:r>
      <w:r w:rsidRPr="00FA05A9">
        <w:rPr>
          <w:rStyle w:val="Strong"/>
          <w:rFonts w:ascii="Arial" w:hAnsi="Arial"/>
          <w:i w:val="0"/>
          <w:color w:val="414042"/>
          <w:sz w:val="24"/>
          <w:shd w:val="clear" w:color="auto" w:fill="FFFFFF"/>
        </w:rPr>
        <w:t xml:space="preserve">with at least an NCEA Level 2 qualification or equivalent, by ethnic group </w:t>
      </w:r>
      <w:r>
        <w:rPr>
          <w:rStyle w:val="Strong"/>
          <w:rFonts w:ascii="Arial" w:hAnsi="Arial"/>
          <w:i w:val="0"/>
          <w:color w:val="414042"/>
          <w:sz w:val="24"/>
          <w:shd w:val="clear" w:color="auto" w:fill="FFFFFF"/>
        </w:rPr>
        <w:t xml:space="preserve">and gender </w:t>
      </w:r>
      <w:r w:rsidRPr="00FA05A9">
        <w:rPr>
          <w:rStyle w:val="Strong"/>
          <w:rFonts w:ascii="Arial" w:hAnsi="Arial"/>
          <w:i w:val="0"/>
          <w:color w:val="414042"/>
          <w:sz w:val="24"/>
          <w:shd w:val="clear" w:color="auto" w:fill="FFFFFF"/>
        </w:rPr>
        <w:t>(2009 to 2019)</w:t>
      </w:r>
    </w:p>
    <w:p w14:paraId="20B6FF85" w14:textId="6DB8AD4B" w:rsidR="006E396F" w:rsidRDefault="006E396F" w:rsidP="008F03DF">
      <w:pPr>
        <w:spacing w:before="120" w:after="120" w:line="240" w:lineRule="atLeast"/>
        <w:rPr>
          <w:rStyle w:val="Strong"/>
          <w:rFonts w:ascii="Arial" w:hAnsi="Arial"/>
          <w:i w:val="0"/>
          <w:color w:val="414042"/>
          <w:sz w:val="24"/>
          <w:shd w:val="clear" w:color="auto" w:fill="FFFFFF"/>
        </w:rPr>
      </w:pPr>
      <w:r>
        <w:rPr>
          <w:rStyle w:val="Strong"/>
          <w:rFonts w:ascii="Arial" w:hAnsi="Arial"/>
          <w:i w:val="0"/>
          <w:iCs/>
          <w:noProof/>
          <w:color w:val="414042"/>
          <w:sz w:val="24"/>
          <w:shd w:val="clear" w:color="auto" w:fill="FFFFFF"/>
          <w:lang w:eastAsia="en-NZ"/>
        </w:rPr>
        <w:drawing>
          <wp:inline distT="0" distB="0" distL="0" distR="0" wp14:anchorId="21AA96EA" wp14:editId="0E028404">
            <wp:extent cx="2509200" cy="1598400"/>
            <wp:effectExtent l="0" t="0" r="5715" b="1905"/>
            <wp:docPr id="47" name="Picture 47" descr="Line graph: Percentage of 18 year olds with at least an NCEA Level 2 qualification or equivalent, by ethnic group (2009 to 2019). All ethnicities show improvement between 2011 and 2018, with a small dip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Line graph: Percentage of 18 year olds with at least an NCEA Level 2 qualification or equivalent, by ethnic group (2009 to 2019). All ethnicities show improvement between 2011 and 2018, with a small dip in 2019.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9200" cy="1598400"/>
                    </a:xfrm>
                    <a:prstGeom prst="rect">
                      <a:avLst/>
                    </a:prstGeom>
                    <a:noFill/>
                  </pic:spPr>
                </pic:pic>
              </a:graphicData>
            </a:graphic>
          </wp:inline>
        </w:drawing>
      </w:r>
      <w:r>
        <w:rPr>
          <w:rStyle w:val="Strong"/>
          <w:rFonts w:ascii="Arial" w:hAnsi="Arial"/>
          <w:i w:val="0"/>
          <w:noProof/>
          <w:color w:val="414042"/>
          <w:sz w:val="24"/>
          <w:shd w:val="clear" w:color="auto" w:fill="FFFFFF"/>
          <w:lang w:eastAsia="en-NZ"/>
        </w:rPr>
        <w:drawing>
          <wp:inline distT="0" distB="0" distL="0" distR="0" wp14:anchorId="5F477DCD" wp14:editId="3F8F9E13">
            <wp:extent cx="2505600" cy="1598400"/>
            <wp:effectExtent l="0" t="0" r="9525" b="1905"/>
            <wp:docPr id="48" name="Picture 48" descr="Line graph: Percentage of 18 year olds with at least an NCEA Level 2 qualification or equivalent, by gender (2009 to 2019). For females, this proportion grows from approximately 78% to 88% since between 2011 and 2017, dipping slightly in 2019. Similarly, for males this proportion grows from 70% to 81%, with a small dip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ine graph: Percentage of 18 year olds with at least an NCEA Level 2 qualification or equivalent, by gender (2009 to 2019). For females, this proportion grows from approximately 78% to 88% since between 2011 and 2017, dipping slightly in 2019. Similarly, for males this proportion grows from 70% to 81%, with a small dip in 20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5600" cy="1598400"/>
                    </a:xfrm>
                    <a:prstGeom prst="rect">
                      <a:avLst/>
                    </a:prstGeom>
                    <a:noFill/>
                  </pic:spPr>
                </pic:pic>
              </a:graphicData>
            </a:graphic>
          </wp:inline>
        </w:drawing>
      </w:r>
    </w:p>
    <w:p w14:paraId="60DD1493" w14:textId="55A03E72" w:rsidR="00BA6F26" w:rsidRPr="00BA6F26" w:rsidRDefault="00BA6F26" w:rsidP="00BA6F26">
      <w:pPr>
        <w:pStyle w:val="Caption"/>
        <w:rPr>
          <w:rStyle w:val="Strong"/>
          <w:rFonts w:ascii="Arial" w:hAnsi="Arial"/>
          <w:b w:val="0"/>
          <w:bCs w:val="0"/>
          <w:color w:val="auto"/>
          <w:sz w:val="18"/>
          <w:szCs w:val="18"/>
        </w:rPr>
      </w:pPr>
      <w:r w:rsidRPr="00BA6F26">
        <w:rPr>
          <w:rFonts w:ascii="Arial" w:hAnsi="Arial" w:cs="Arial"/>
          <w:i w:val="0"/>
          <w:color w:val="auto"/>
        </w:rPr>
        <w:t>Source: Ministry of Education</w:t>
      </w:r>
    </w:p>
    <w:p w14:paraId="277543D2" w14:textId="77777777" w:rsidR="006E396F" w:rsidRPr="00FA05A9" w:rsidRDefault="006E396F" w:rsidP="008F03DF">
      <w:pPr>
        <w:spacing w:before="120" w:after="120" w:line="240" w:lineRule="atLeast"/>
        <w:rPr>
          <w:i/>
        </w:rPr>
      </w:pPr>
      <w:r>
        <w:rPr>
          <w:rStyle w:val="Strong"/>
          <w:rFonts w:ascii="Arial" w:hAnsi="Arial"/>
          <w:i w:val="0"/>
          <w:color w:val="414042"/>
          <w:sz w:val="24"/>
          <w:shd w:val="clear" w:color="auto" w:fill="FFFFFF"/>
        </w:rPr>
        <w:t>Percentage of Māori school leavers with NCEA Level 2 or higher, for Māori-medium and English-medium schools</w:t>
      </w:r>
    </w:p>
    <w:p w14:paraId="58B79319" w14:textId="54B2217B" w:rsidR="006E396F" w:rsidRDefault="006E396F" w:rsidP="008F03DF">
      <w:pPr>
        <w:spacing w:before="120" w:after="120" w:line="240" w:lineRule="atLeast"/>
        <w:ind w:left="360"/>
        <w:jc w:val="center"/>
        <w:rPr>
          <w:rFonts w:ascii="Arial" w:hAnsi="Arial" w:cs="Arial"/>
          <w:sz w:val="24"/>
          <w:szCs w:val="24"/>
        </w:rPr>
      </w:pPr>
      <w:r w:rsidRPr="00AF6E4F">
        <w:rPr>
          <w:noProof/>
          <w:lang w:eastAsia="en-NZ"/>
        </w:rPr>
        <w:drawing>
          <wp:inline distT="0" distB="0" distL="0" distR="0" wp14:anchorId="4AEBFEC5" wp14:editId="5A999F8F">
            <wp:extent cx="2544536" cy="1619250"/>
            <wp:effectExtent l="0" t="0" r="8255" b="0"/>
            <wp:docPr id="46" name="Picture 46" descr="The graph shows that a higher percentage of Māori school leavers from Māori Medium Education leave with at least an NCEA Level 2 qualification or equivalent, compared to Māori school leavers from European Medium Education. The percentage of total school leavers with at least NCEA Level 2 is only slightly higher than that of Māori Medium Education le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graph shows that a higher percentage of Māori school leavers from Māori Medium Education leave with at least an NCEA Level 2 qualification or equivalent, compared to Māori school leavers from European Medium Education. The percentage of total school leavers with at least NCEA Level 2 is only slightly higher than that of Māori Medium Education leav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4536" cy="1619250"/>
                    </a:xfrm>
                    <a:prstGeom prst="rect">
                      <a:avLst/>
                    </a:prstGeom>
                    <a:noFill/>
                    <a:ln>
                      <a:noFill/>
                    </a:ln>
                  </pic:spPr>
                </pic:pic>
              </a:graphicData>
            </a:graphic>
          </wp:inline>
        </w:drawing>
      </w:r>
    </w:p>
    <w:p w14:paraId="305BBC71" w14:textId="77777777" w:rsidR="00BA6F26" w:rsidRPr="00BA6F26" w:rsidRDefault="00BA6F26" w:rsidP="00BA6F26">
      <w:pPr>
        <w:pStyle w:val="Caption"/>
        <w:rPr>
          <w:rFonts w:ascii="Arial" w:hAnsi="Arial" w:cs="Arial"/>
          <w:i w:val="0"/>
          <w:color w:val="auto"/>
        </w:rPr>
      </w:pPr>
      <w:r w:rsidRPr="00BA6F26">
        <w:rPr>
          <w:rFonts w:ascii="Arial" w:hAnsi="Arial" w:cs="Arial"/>
          <w:i w:val="0"/>
          <w:color w:val="auto"/>
        </w:rPr>
        <w:t>Source: Ministry of Education</w:t>
      </w:r>
    </w:p>
    <w:p w14:paraId="15930EAF" w14:textId="68CB543E" w:rsidR="006E396F" w:rsidRPr="009D14F4" w:rsidRDefault="006E396F" w:rsidP="008F03DF">
      <w:pPr>
        <w:spacing w:before="120" w:after="120" w:line="240" w:lineRule="atLeast"/>
        <w:rPr>
          <w:rStyle w:val="Strong"/>
          <w:rFonts w:ascii="Arial" w:hAnsi="Arial"/>
          <w:i w:val="0"/>
          <w:color w:val="414042"/>
          <w:sz w:val="24"/>
          <w:shd w:val="clear" w:color="auto" w:fill="FFFFFF"/>
        </w:rPr>
      </w:pPr>
      <w:r w:rsidRPr="009D14F4">
        <w:rPr>
          <w:rStyle w:val="Strong"/>
          <w:rFonts w:ascii="Arial" w:hAnsi="Arial"/>
          <w:i w:val="0"/>
          <w:sz w:val="24"/>
        </w:rPr>
        <w:lastRenderedPageBreak/>
        <w:t>Percentage of total school leavers with NCEA Level 1 literacy and numeracy (2009 to 2019)</w:t>
      </w:r>
    </w:p>
    <w:p w14:paraId="53E6C3DC" w14:textId="77777777" w:rsidR="00BA6F26" w:rsidRDefault="006E396F" w:rsidP="00BA6F26">
      <w:pPr>
        <w:pStyle w:val="ListParagraph"/>
        <w:spacing w:before="120" w:after="120" w:line="240" w:lineRule="atLeast"/>
        <w:ind w:left="0"/>
        <w:contextualSpacing w:val="0"/>
        <w:jc w:val="center"/>
        <w:rPr>
          <w:rStyle w:val="Strong"/>
          <w:rFonts w:ascii="Arial" w:hAnsi="Arial"/>
          <w:bCs w:val="0"/>
          <w:i w:val="0"/>
          <w:sz w:val="24"/>
        </w:rPr>
      </w:pPr>
      <w:r w:rsidRPr="00AF6E4F">
        <w:rPr>
          <w:rFonts w:ascii="Arial" w:hAnsi="Arial" w:cs="Arial"/>
          <w:noProof/>
          <w:sz w:val="24"/>
          <w:szCs w:val="24"/>
          <w:lang w:eastAsia="en-NZ"/>
        </w:rPr>
        <w:drawing>
          <wp:inline distT="0" distB="0" distL="0" distR="0" wp14:anchorId="528B228A" wp14:editId="34FE5174">
            <wp:extent cx="2533650" cy="1612323"/>
            <wp:effectExtent l="0" t="0" r="0" b="6985"/>
            <wp:docPr id="32" name="Picture 32" descr="Line graph: Percentage of total school leavers with NCEA Level 1 literacy and numeracy (2009 to 2019). The graph shows that the percentage of school with NCEA Level 1 literacy and numeracy peaked around 2016/2017 and has declined in the years since. There was also a dip aroun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ine graph: Percentage of total school leavers with NCEA Level 1 literacy and numeracy (2009 to 2019). The graph shows that the percentage of school with NCEA Level 1 literacy and numeracy peaked around 2016/2017 and has declined in the years since. There was also a dip around 20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650" cy="1612323"/>
                    </a:xfrm>
                    <a:prstGeom prst="rect">
                      <a:avLst/>
                    </a:prstGeom>
                    <a:noFill/>
                    <a:ln>
                      <a:noFill/>
                    </a:ln>
                  </pic:spPr>
                </pic:pic>
              </a:graphicData>
            </a:graphic>
          </wp:inline>
        </w:drawing>
      </w:r>
    </w:p>
    <w:p w14:paraId="004C1CDD" w14:textId="77777777" w:rsidR="00BA6F26" w:rsidRPr="00BA6F26" w:rsidRDefault="00BA6F26" w:rsidP="00BA6F26">
      <w:pPr>
        <w:pStyle w:val="Caption"/>
        <w:rPr>
          <w:rFonts w:ascii="Arial" w:hAnsi="Arial" w:cs="Arial"/>
          <w:i w:val="0"/>
          <w:color w:val="auto"/>
        </w:rPr>
      </w:pPr>
      <w:r w:rsidRPr="00BA6F26">
        <w:rPr>
          <w:rFonts w:ascii="Arial" w:hAnsi="Arial" w:cs="Arial"/>
          <w:i w:val="0"/>
          <w:color w:val="auto"/>
        </w:rPr>
        <w:t>Source: Ministry of Education</w:t>
      </w:r>
    </w:p>
    <w:p w14:paraId="45A718EE" w14:textId="2C33A251" w:rsidR="006E396F" w:rsidRPr="009D14F4" w:rsidRDefault="006E396F" w:rsidP="00BA6F26">
      <w:pPr>
        <w:pStyle w:val="ListParagraph"/>
        <w:spacing w:before="120" w:after="120" w:line="240" w:lineRule="atLeast"/>
        <w:ind w:left="0"/>
        <w:contextualSpacing w:val="0"/>
        <w:jc w:val="center"/>
        <w:rPr>
          <w:rStyle w:val="Strong"/>
          <w:rFonts w:ascii="Arial" w:hAnsi="Arial"/>
          <w:bCs w:val="0"/>
          <w:i w:val="0"/>
          <w:sz w:val="24"/>
        </w:rPr>
      </w:pPr>
      <w:r>
        <w:rPr>
          <w:rFonts w:ascii="Arial" w:hAnsi="Arial" w:cs="Arial"/>
          <w:sz w:val="24"/>
          <w:szCs w:val="24"/>
        </w:rPr>
        <w:br w:type="textWrapping" w:clear="all"/>
      </w:r>
      <w:r w:rsidRPr="009D14F4">
        <w:rPr>
          <w:rStyle w:val="Strong"/>
          <w:rFonts w:ascii="Arial" w:hAnsi="Arial"/>
          <w:bCs w:val="0"/>
          <w:i w:val="0"/>
          <w:sz w:val="24"/>
        </w:rPr>
        <w:t xml:space="preserve">PISA shows that mathematics and readings scores for NZ 15-year olds have been declining </w:t>
      </w:r>
      <w:r w:rsidR="00F47956" w:rsidRPr="009D14F4">
        <w:rPr>
          <w:rStyle w:val="Strong"/>
          <w:rFonts w:ascii="Arial" w:hAnsi="Arial"/>
          <w:bCs w:val="0"/>
          <w:i w:val="0"/>
          <w:sz w:val="24"/>
        </w:rPr>
        <w:t>since 2000</w:t>
      </w:r>
    </w:p>
    <w:p w14:paraId="233A5328" w14:textId="4BBA854E" w:rsidR="006E396F" w:rsidRDefault="006E396F" w:rsidP="00BA6F26">
      <w:pPr>
        <w:pStyle w:val="ListParagraph"/>
        <w:spacing w:before="120" w:after="120" w:line="240" w:lineRule="atLeast"/>
        <w:ind w:left="0"/>
        <w:contextualSpacing w:val="0"/>
        <w:jc w:val="center"/>
        <w:rPr>
          <w:rFonts w:ascii="Arial" w:hAnsi="Arial" w:cs="Arial"/>
          <w:sz w:val="24"/>
          <w:szCs w:val="24"/>
        </w:rPr>
      </w:pPr>
      <w:r w:rsidRPr="00AF6E4F">
        <w:rPr>
          <w:rFonts w:ascii="Arial" w:hAnsi="Arial" w:cs="Arial"/>
          <w:noProof/>
          <w:sz w:val="24"/>
          <w:szCs w:val="24"/>
          <w:lang w:eastAsia="en-NZ"/>
        </w:rPr>
        <w:drawing>
          <wp:inline distT="0" distB="0" distL="0" distR="0" wp14:anchorId="57DE46D1" wp14:editId="1364BD36">
            <wp:extent cx="2905760" cy="1614805"/>
            <wp:effectExtent l="0" t="0" r="8890" b="4445"/>
            <wp:docPr id="33" name="Picture 33" descr="Line graph: Mean mathematics scores for NZ 15 year olds from 2003 to 2018, compared to OECD average. In 2003, New Zealand mean scores were 523 compared to 499 for the OECD average. By 2018, the New Zealand score fell significantly to 494, while the OECD average had only dropped to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ine graph: Mean mathematics scores for NZ 15 year olds from 2003 to 2018, compared to OECD average. In 2003, New Zealand mean scores were 523 compared to 499 for the OECD average. By 2018, the New Zealand score fell significantly to 494, while the OECD average had only dropped to 489."/>
                    <pic:cNvPicPr/>
                  </pic:nvPicPr>
                  <pic:blipFill rotWithShape="1">
                    <a:blip r:embed="rId12" cstate="print">
                      <a:extLst>
                        <a:ext uri="{28A0092B-C50C-407E-A947-70E740481C1C}">
                          <a14:useLocalDpi xmlns:a14="http://schemas.microsoft.com/office/drawing/2010/main" val="0"/>
                        </a:ext>
                      </a:extLst>
                    </a:blip>
                    <a:srcRect t="22582" r="14303" b="12552"/>
                    <a:stretch/>
                  </pic:blipFill>
                  <pic:spPr bwMode="auto">
                    <a:xfrm>
                      <a:off x="0" y="0"/>
                      <a:ext cx="2905760" cy="1614805"/>
                    </a:xfrm>
                    <a:prstGeom prst="rect">
                      <a:avLst/>
                    </a:prstGeom>
                    <a:ln>
                      <a:noFill/>
                    </a:ln>
                    <a:extLst>
                      <a:ext uri="{53640926-AAD7-44D8-BBD7-CCE9431645EC}">
                        <a14:shadowObscured xmlns:a14="http://schemas.microsoft.com/office/drawing/2010/main"/>
                      </a:ext>
                    </a:extLst>
                  </pic:spPr>
                </pic:pic>
              </a:graphicData>
            </a:graphic>
          </wp:inline>
        </w:drawing>
      </w:r>
      <w:r w:rsidRPr="00AF6E4F">
        <w:rPr>
          <w:rFonts w:ascii="Arial" w:hAnsi="Arial" w:cs="Arial"/>
          <w:noProof/>
          <w:sz w:val="24"/>
          <w:szCs w:val="24"/>
          <w:lang w:eastAsia="en-NZ"/>
        </w:rPr>
        <w:drawing>
          <wp:inline distT="0" distB="0" distL="0" distR="0" wp14:anchorId="589A1395" wp14:editId="246FEDBF">
            <wp:extent cx="2905952" cy="1540510"/>
            <wp:effectExtent l="0" t="0" r="8890" b="2540"/>
            <wp:docPr id="38" name="Picture 38" descr="Line graph: Mean reading scores for NZ 15 year olds from 2003 to 2018 (compared to OECD). New Zealand scores were substantially higher than the OECD average in 2000, but over time this difference has reduced by approximately ha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ine graph: Mean reading scores for NZ 15 year olds from 2003 to 2018 (compared to OECD). New Zealand scores were substantially higher than the OECD average in 2000, but over time this difference has reduced by approximately half. "/>
                    <pic:cNvPicPr/>
                  </pic:nvPicPr>
                  <pic:blipFill rotWithShape="1">
                    <a:blip r:embed="rId13" cstate="print">
                      <a:extLst>
                        <a:ext uri="{28A0092B-C50C-407E-A947-70E740481C1C}">
                          <a14:useLocalDpi xmlns:a14="http://schemas.microsoft.com/office/drawing/2010/main" val="0"/>
                        </a:ext>
                      </a:extLst>
                    </a:blip>
                    <a:srcRect t="17920" r="9046" b="12896"/>
                    <a:stretch/>
                  </pic:blipFill>
                  <pic:spPr bwMode="auto">
                    <a:xfrm>
                      <a:off x="0" y="0"/>
                      <a:ext cx="2905952" cy="1540510"/>
                    </a:xfrm>
                    <a:prstGeom prst="rect">
                      <a:avLst/>
                    </a:prstGeom>
                    <a:ln>
                      <a:noFill/>
                    </a:ln>
                    <a:extLst>
                      <a:ext uri="{53640926-AAD7-44D8-BBD7-CCE9431645EC}">
                        <a14:shadowObscured xmlns:a14="http://schemas.microsoft.com/office/drawing/2010/main"/>
                      </a:ext>
                    </a:extLst>
                  </pic:spPr>
                </pic:pic>
              </a:graphicData>
            </a:graphic>
          </wp:inline>
        </w:drawing>
      </w:r>
    </w:p>
    <w:p w14:paraId="4D98E12B" w14:textId="63678C61" w:rsidR="00BA6F26" w:rsidRPr="00BA6F26" w:rsidRDefault="00BA6F26" w:rsidP="00BA6F26">
      <w:pPr>
        <w:pStyle w:val="Caption"/>
        <w:rPr>
          <w:rFonts w:ascii="Arial" w:hAnsi="Arial" w:cs="Arial"/>
          <w:i w:val="0"/>
          <w:color w:val="auto"/>
        </w:rPr>
      </w:pPr>
      <w:r w:rsidRPr="00BA6F26">
        <w:rPr>
          <w:rFonts w:ascii="Arial" w:hAnsi="Arial" w:cs="Arial"/>
          <w:i w:val="0"/>
          <w:color w:val="auto"/>
        </w:rPr>
        <w:t xml:space="preserve">Source: </w:t>
      </w:r>
      <w:r>
        <w:rPr>
          <w:rFonts w:ascii="Arial" w:hAnsi="Arial" w:cs="Arial"/>
          <w:i w:val="0"/>
          <w:color w:val="auto"/>
        </w:rPr>
        <w:t>PISA</w:t>
      </w:r>
    </w:p>
    <w:p w14:paraId="0F94EE11" w14:textId="26FC7081" w:rsidR="0004218F" w:rsidRPr="00534982" w:rsidRDefault="0004218F" w:rsidP="008F03DF">
      <w:pPr>
        <w:pStyle w:val="ListParagraph"/>
        <w:numPr>
          <w:ilvl w:val="0"/>
          <w:numId w:val="39"/>
        </w:numPr>
        <w:spacing w:before="120" w:after="120" w:line="240" w:lineRule="atLeast"/>
        <w:ind w:left="567" w:hanging="567"/>
        <w:contextualSpacing w:val="0"/>
        <w:rPr>
          <w:rFonts w:ascii="Arial" w:hAnsi="Arial" w:cs="Arial"/>
          <w:sz w:val="24"/>
          <w:szCs w:val="24"/>
        </w:rPr>
      </w:pPr>
      <w:r>
        <w:rPr>
          <w:rFonts w:ascii="Arial" w:hAnsi="Arial" w:cs="Arial"/>
          <w:sz w:val="24"/>
          <w:szCs w:val="24"/>
        </w:rPr>
        <w:t>Another risk factor is poor engagement and attendance w</w:t>
      </w:r>
      <w:r w:rsidR="00E21ED5">
        <w:rPr>
          <w:rFonts w:ascii="Arial" w:hAnsi="Arial" w:cs="Arial"/>
          <w:sz w:val="24"/>
          <w:szCs w:val="24"/>
        </w:rPr>
        <w:t xml:space="preserve">hile still enrolled at school. </w:t>
      </w:r>
      <w:r w:rsidRPr="00534982">
        <w:rPr>
          <w:rFonts w:ascii="Arial" w:hAnsi="Arial" w:cs="Arial"/>
          <w:sz w:val="24"/>
          <w:szCs w:val="24"/>
        </w:rPr>
        <w:t xml:space="preserve">Regular </w:t>
      </w:r>
      <w:r w:rsidR="00767283">
        <w:rPr>
          <w:rFonts w:ascii="Arial" w:hAnsi="Arial" w:cs="Arial"/>
          <w:sz w:val="24"/>
          <w:szCs w:val="24"/>
        </w:rPr>
        <w:t xml:space="preserve">school </w:t>
      </w:r>
      <w:r w:rsidRPr="00534982">
        <w:rPr>
          <w:rFonts w:ascii="Arial" w:hAnsi="Arial" w:cs="Arial"/>
          <w:sz w:val="24"/>
          <w:szCs w:val="24"/>
        </w:rPr>
        <w:t>attendance is unacceptably low and has been falling since 2015</w:t>
      </w:r>
      <w:r>
        <w:rPr>
          <w:rFonts w:ascii="Arial" w:hAnsi="Arial" w:cs="Arial"/>
          <w:sz w:val="24"/>
          <w:szCs w:val="24"/>
        </w:rPr>
        <w:t>.</w:t>
      </w:r>
      <w:r w:rsidRPr="00534982">
        <w:rPr>
          <w:rFonts w:ascii="Arial" w:hAnsi="Arial" w:cs="Arial"/>
          <w:sz w:val="24"/>
          <w:szCs w:val="24"/>
        </w:rPr>
        <w:t xml:space="preserve"> In 2019, 58</w:t>
      </w:r>
      <w:r w:rsidR="00710711">
        <w:rPr>
          <w:rFonts w:ascii="Arial" w:hAnsi="Arial" w:cs="Arial"/>
          <w:sz w:val="24"/>
          <w:szCs w:val="24"/>
        </w:rPr>
        <w:t xml:space="preserve">% </w:t>
      </w:r>
      <w:r w:rsidRPr="00534982">
        <w:rPr>
          <w:rFonts w:ascii="Arial" w:hAnsi="Arial" w:cs="Arial"/>
          <w:sz w:val="24"/>
          <w:szCs w:val="24"/>
        </w:rPr>
        <w:t>of students attend</w:t>
      </w:r>
      <w:r w:rsidR="00245F8E">
        <w:rPr>
          <w:rFonts w:ascii="Arial" w:hAnsi="Arial" w:cs="Arial"/>
          <w:sz w:val="24"/>
          <w:szCs w:val="24"/>
        </w:rPr>
        <w:t>ed</w:t>
      </w:r>
      <w:r w:rsidRPr="00534982">
        <w:rPr>
          <w:rFonts w:ascii="Arial" w:hAnsi="Arial" w:cs="Arial"/>
          <w:sz w:val="24"/>
          <w:szCs w:val="24"/>
        </w:rPr>
        <w:t xml:space="preserve"> school ‘regularly’ (at least 90</w:t>
      </w:r>
      <w:r w:rsidR="00710711">
        <w:rPr>
          <w:rFonts w:ascii="Arial" w:hAnsi="Arial" w:cs="Arial"/>
          <w:sz w:val="24"/>
          <w:szCs w:val="24"/>
        </w:rPr>
        <w:t xml:space="preserve">% </w:t>
      </w:r>
      <w:r w:rsidRPr="00534982">
        <w:rPr>
          <w:rFonts w:ascii="Arial" w:hAnsi="Arial" w:cs="Arial"/>
          <w:sz w:val="24"/>
          <w:szCs w:val="24"/>
        </w:rPr>
        <w:t>of school days).</w:t>
      </w:r>
      <w:r>
        <w:rPr>
          <w:rFonts w:ascii="Arial" w:hAnsi="Arial" w:cs="Arial"/>
          <w:sz w:val="24"/>
          <w:szCs w:val="24"/>
        </w:rPr>
        <w:t xml:space="preserve"> </w:t>
      </w:r>
      <w:r w:rsidRPr="00534982">
        <w:rPr>
          <w:rFonts w:ascii="Arial" w:hAnsi="Arial" w:cs="Arial"/>
          <w:sz w:val="24"/>
          <w:szCs w:val="24"/>
        </w:rPr>
        <w:t>2020 saw a rebound following the national lockdown; however, th</w:t>
      </w:r>
      <w:r>
        <w:rPr>
          <w:rFonts w:ascii="Arial" w:hAnsi="Arial" w:cs="Arial"/>
          <w:sz w:val="24"/>
          <w:szCs w:val="24"/>
        </w:rPr>
        <w:t xml:space="preserve">ere is </w:t>
      </w:r>
      <w:r w:rsidR="00245F8E">
        <w:rPr>
          <w:rFonts w:ascii="Arial" w:hAnsi="Arial" w:cs="Arial"/>
          <w:sz w:val="24"/>
          <w:szCs w:val="24"/>
        </w:rPr>
        <w:t xml:space="preserve">no </w:t>
      </w:r>
      <w:r>
        <w:rPr>
          <w:rFonts w:ascii="Arial" w:hAnsi="Arial" w:cs="Arial"/>
          <w:sz w:val="24"/>
          <w:szCs w:val="24"/>
        </w:rPr>
        <w:t xml:space="preserve">basis to expect this reversal of the trend </w:t>
      </w:r>
      <w:r w:rsidRPr="00534982">
        <w:rPr>
          <w:rFonts w:ascii="Arial" w:hAnsi="Arial" w:cs="Arial"/>
          <w:sz w:val="24"/>
          <w:szCs w:val="24"/>
        </w:rPr>
        <w:t>to continue.</w:t>
      </w:r>
    </w:p>
    <w:p w14:paraId="5F7DAF0E" w14:textId="77777777" w:rsidR="0004218F" w:rsidRPr="00AF6E4F" w:rsidRDefault="0004218F" w:rsidP="008F03DF">
      <w:pPr>
        <w:pStyle w:val="ListParagraph"/>
        <w:keepNext/>
        <w:spacing w:before="120" w:after="120" w:line="240" w:lineRule="atLeast"/>
        <w:ind w:left="0"/>
        <w:contextualSpacing w:val="0"/>
        <w:rPr>
          <w:rFonts w:ascii="Arial" w:hAnsi="Arial" w:cs="Arial"/>
          <w:sz w:val="24"/>
          <w:szCs w:val="24"/>
        </w:rPr>
      </w:pPr>
      <w:r w:rsidRPr="00AF6E4F">
        <w:rPr>
          <w:rFonts w:ascii="Arial" w:hAnsi="Arial" w:cs="Arial"/>
          <w:b/>
          <w:bCs/>
          <w:color w:val="414042"/>
          <w:sz w:val="24"/>
          <w:szCs w:val="24"/>
          <w:shd w:val="clear" w:color="auto" w:fill="FFFFFF"/>
        </w:rPr>
        <w:lastRenderedPageBreak/>
        <w:t>The percentage of students attending school regularly</w:t>
      </w:r>
    </w:p>
    <w:p w14:paraId="4EA90B43" w14:textId="77777777" w:rsidR="00BA6F26" w:rsidRDefault="0004218F" w:rsidP="00BA6F26">
      <w:pPr>
        <w:pStyle w:val="ListParagraph"/>
        <w:keepNext/>
        <w:spacing w:before="120" w:after="120" w:line="240" w:lineRule="atLeast"/>
        <w:ind w:left="0"/>
        <w:contextualSpacing w:val="0"/>
        <w:jc w:val="center"/>
      </w:pPr>
      <w:r w:rsidRPr="00AF6E4F">
        <w:rPr>
          <w:rFonts w:ascii="Arial" w:hAnsi="Arial" w:cs="Arial"/>
          <w:noProof/>
          <w:sz w:val="24"/>
          <w:szCs w:val="24"/>
          <w:lang w:eastAsia="en-NZ"/>
        </w:rPr>
        <w:drawing>
          <wp:inline distT="0" distB="0" distL="0" distR="0" wp14:anchorId="2FCF26F0" wp14:editId="2ECED116">
            <wp:extent cx="4124325" cy="2062163"/>
            <wp:effectExtent l="0" t="0" r="0" b="0"/>
            <wp:docPr id="49" name="Picture 49" descr="Figure 1: Students attending school regularly, from 2015 to 2020. The percentage of students attending school regularly declines between by approximately 10% between 2015 and 2019, but increase by approximately 5%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1: Students attending school regularly, from 2015 to 2020. The percentage of students attending school regularly declines between by approximately 10% between 2015 and 2019, but increase by approximately 5% in 20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1760" cy="2065881"/>
                    </a:xfrm>
                    <a:prstGeom prst="rect">
                      <a:avLst/>
                    </a:prstGeom>
                    <a:noFill/>
                    <a:ln>
                      <a:noFill/>
                    </a:ln>
                  </pic:spPr>
                </pic:pic>
              </a:graphicData>
            </a:graphic>
          </wp:inline>
        </w:drawing>
      </w:r>
    </w:p>
    <w:p w14:paraId="1CB042B5" w14:textId="2338285E" w:rsidR="00767283" w:rsidRPr="00AF6E4F" w:rsidRDefault="00767283" w:rsidP="00767283">
      <w:pPr>
        <w:pStyle w:val="ListParagraph"/>
        <w:keepNext/>
        <w:spacing w:before="120" w:after="120" w:line="240" w:lineRule="atLeast"/>
        <w:ind w:left="0"/>
        <w:contextualSpacing w:val="0"/>
        <w:rPr>
          <w:rFonts w:ascii="Arial" w:hAnsi="Arial" w:cs="Arial"/>
          <w:sz w:val="24"/>
          <w:szCs w:val="24"/>
        </w:rPr>
      </w:pPr>
      <w:r w:rsidRPr="009E39BF">
        <w:t xml:space="preserve">Source: </w:t>
      </w:r>
      <w:proofErr w:type="spellStart"/>
      <w:r w:rsidRPr="009E39BF">
        <w:t>EdCounts</w:t>
      </w:r>
      <w:proofErr w:type="spellEnd"/>
      <w:r w:rsidR="00CD315B">
        <w:t>:</w:t>
      </w:r>
      <w:r w:rsidRPr="009E39BF">
        <w:t xml:space="preserve"> </w:t>
      </w:r>
      <w:hyperlink r:id="rId15" w:history="1">
        <w:r w:rsidRPr="009E39BF">
          <w:rPr>
            <w:rStyle w:val="Hyperlink"/>
          </w:rPr>
          <w:t>https://www.educationcounts.govt.nz/statistics/attendance</w:t>
        </w:r>
      </w:hyperlink>
      <w:r>
        <w:t xml:space="preserve"> </w:t>
      </w:r>
      <w:r>
        <w:rPr>
          <w:rFonts w:ascii="Arial" w:hAnsi="Arial" w:cs="Arial"/>
          <w:sz w:val="24"/>
          <w:szCs w:val="24"/>
        </w:rPr>
        <w:t xml:space="preserve"> </w:t>
      </w:r>
    </w:p>
    <w:p w14:paraId="4621DB77" w14:textId="3D74C4DA" w:rsidR="00BA6F26" w:rsidRPr="00BA6F26" w:rsidRDefault="00BA6F26" w:rsidP="00BA6F26">
      <w:pPr>
        <w:pStyle w:val="Caption"/>
        <w:rPr>
          <w:rFonts w:ascii="Arial" w:hAnsi="Arial" w:cs="Arial"/>
          <w:i w:val="0"/>
          <w:color w:val="auto"/>
        </w:rPr>
      </w:pPr>
    </w:p>
    <w:p w14:paraId="53F5AE18" w14:textId="77777777" w:rsidR="0004218F" w:rsidRPr="00F631BA" w:rsidRDefault="00F631BA" w:rsidP="008F03DF">
      <w:pPr>
        <w:pStyle w:val="ListParagraph"/>
        <w:numPr>
          <w:ilvl w:val="0"/>
          <w:numId w:val="39"/>
        </w:numPr>
        <w:spacing w:before="120" w:after="120" w:line="240" w:lineRule="atLeast"/>
        <w:ind w:left="567" w:hanging="567"/>
        <w:contextualSpacing w:val="0"/>
        <w:rPr>
          <w:rFonts w:ascii="Arial" w:hAnsi="Arial" w:cs="Arial"/>
          <w:sz w:val="24"/>
          <w:szCs w:val="24"/>
        </w:rPr>
      </w:pPr>
      <w:r w:rsidRPr="00AF6E4F">
        <w:rPr>
          <w:rFonts w:ascii="Arial" w:hAnsi="Arial" w:cs="Arial"/>
          <w:sz w:val="24"/>
          <w:szCs w:val="24"/>
        </w:rPr>
        <w:t xml:space="preserve">One risk factor for becoming </w:t>
      </w:r>
      <w:r>
        <w:rPr>
          <w:rFonts w:ascii="Arial" w:hAnsi="Arial" w:cs="Arial"/>
          <w:sz w:val="24"/>
          <w:szCs w:val="24"/>
        </w:rPr>
        <w:t>at risk of limited employment</w:t>
      </w:r>
      <w:r w:rsidRPr="00AF6E4F">
        <w:rPr>
          <w:rFonts w:ascii="Arial" w:hAnsi="Arial" w:cs="Arial"/>
          <w:sz w:val="24"/>
          <w:szCs w:val="24"/>
        </w:rPr>
        <w:t xml:space="preserve"> is leaving</w:t>
      </w:r>
      <w:r>
        <w:rPr>
          <w:rFonts w:ascii="Arial" w:hAnsi="Arial" w:cs="Arial"/>
          <w:sz w:val="24"/>
          <w:szCs w:val="24"/>
        </w:rPr>
        <w:t xml:space="preserve"> school with no qualifications, and r</w:t>
      </w:r>
      <w:r w:rsidR="0004218F" w:rsidRPr="00F631BA">
        <w:rPr>
          <w:rFonts w:ascii="Arial" w:hAnsi="Arial" w:cs="Arial"/>
          <w:sz w:val="24"/>
          <w:szCs w:val="24"/>
        </w:rPr>
        <w:t>egular attendance is a proxy for wellbeing and engagement. PISA data shows that</w:t>
      </w:r>
      <w:r w:rsidR="00245F8E">
        <w:rPr>
          <w:rFonts w:ascii="Arial" w:hAnsi="Arial" w:cs="Arial"/>
          <w:sz w:val="24"/>
          <w:szCs w:val="24"/>
        </w:rPr>
        <w:t>,</w:t>
      </w:r>
      <w:r w:rsidR="0004218F" w:rsidRPr="00F631BA">
        <w:rPr>
          <w:rFonts w:ascii="Arial" w:hAnsi="Arial" w:cs="Arial"/>
          <w:sz w:val="24"/>
          <w:szCs w:val="24"/>
        </w:rPr>
        <w:t xml:space="preserve"> like attendance, other measures of wellbeing and engagement are also trending down.</w:t>
      </w:r>
      <w:r w:rsidR="004476A8" w:rsidRPr="00F631BA">
        <w:rPr>
          <w:rFonts w:ascii="Arial" w:hAnsi="Arial" w:cs="Arial"/>
          <w:sz w:val="24"/>
          <w:szCs w:val="24"/>
        </w:rPr>
        <w:t xml:space="preserve"> </w:t>
      </w:r>
      <w:r w:rsidR="002F6534" w:rsidRPr="00F631BA">
        <w:rPr>
          <w:rFonts w:ascii="Arial" w:hAnsi="Arial" w:cs="Arial"/>
          <w:sz w:val="24"/>
          <w:szCs w:val="24"/>
        </w:rPr>
        <w:t>The PISA also shows that th</w:t>
      </w:r>
      <w:r w:rsidR="004476A8" w:rsidRPr="00F631BA">
        <w:rPr>
          <w:rFonts w:ascii="Arial" w:hAnsi="Arial" w:cs="Arial"/>
          <w:sz w:val="24"/>
          <w:szCs w:val="24"/>
        </w:rPr>
        <w:t>e more negative measures (feeling like an outside</w:t>
      </w:r>
      <w:r w:rsidR="00245F8E">
        <w:rPr>
          <w:rFonts w:ascii="Arial" w:hAnsi="Arial" w:cs="Arial"/>
          <w:sz w:val="24"/>
          <w:szCs w:val="24"/>
        </w:rPr>
        <w:t>r</w:t>
      </w:r>
      <w:r w:rsidR="004476A8" w:rsidRPr="00F631BA">
        <w:rPr>
          <w:rFonts w:ascii="Arial" w:hAnsi="Arial" w:cs="Arial"/>
          <w:sz w:val="24"/>
          <w:szCs w:val="24"/>
        </w:rPr>
        <w:t>, or awkward) are trending up</w:t>
      </w:r>
      <w:r w:rsidR="003B722B">
        <w:rPr>
          <w:rFonts w:ascii="Arial" w:hAnsi="Arial" w:cs="Arial"/>
          <w:sz w:val="24"/>
          <w:szCs w:val="24"/>
        </w:rPr>
        <w:t>, and the risk factors for this include being in poverty and interacting with the youth justice system</w:t>
      </w:r>
      <w:r w:rsidR="002F6534" w:rsidRPr="00F631BA">
        <w:rPr>
          <w:rFonts w:ascii="Arial" w:hAnsi="Arial" w:cs="Arial"/>
          <w:sz w:val="24"/>
          <w:szCs w:val="24"/>
        </w:rPr>
        <w:t>. This</w:t>
      </w:r>
      <w:r w:rsidR="004476A8" w:rsidRPr="00F631BA">
        <w:rPr>
          <w:rFonts w:ascii="Arial" w:hAnsi="Arial" w:cs="Arial"/>
          <w:sz w:val="24"/>
          <w:szCs w:val="24"/>
        </w:rPr>
        <w:t xml:space="preserve"> is likely to result in more young people being less engaged at school,</w:t>
      </w:r>
      <w:r w:rsidR="002F6534" w:rsidRPr="00F631BA">
        <w:rPr>
          <w:rFonts w:ascii="Arial" w:hAnsi="Arial" w:cs="Arial"/>
          <w:sz w:val="24"/>
          <w:szCs w:val="24"/>
        </w:rPr>
        <w:t xml:space="preserve"> and therefore at great</w:t>
      </w:r>
      <w:r w:rsidR="00245F8E">
        <w:rPr>
          <w:rFonts w:ascii="Arial" w:hAnsi="Arial" w:cs="Arial"/>
          <w:sz w:val="24"/>
          <w:szCs w:val="24"/>
        </w:rPr>
        <w:t>er</w:t>
      </w:r>
      <w:r w:rsidR="002F6534" w:rsidRPr="00F631BA">
        <w:rPr>
          <w:rFonts w:ascii="Arial" w:hAnsi="Arial" w:cs="Arial"/>
          <w:sz w:val="24"/>
          <w:szCs w:val="24"/>
        </w:rPr>
        <w:t xml:space="preserve"> risk of</w:t>
      </w:r>
      <w:r w:rsidR="004476A8" w:rsidRPr="00F631BA">
        <w:rPr>
          <w:rFonts w:ascii="Arial" w:hAnsi="Arial" w:cs="Arial"/>
          <w:sz w:val="24"/>
          <w:szCs w:val="24"/>
        </w:rPr>
        <w:t xml:space="preserve"> </w:t>
      </w:r>
      <w:r w:rsidR="002F6534" w:rsidRPr="00F631BA">
        <w:rPr>
          <w:rFonts w:ascii="Arial" w:hAnsi="Arial" w:cs="Arial"/>
          <w:sz w:val="24"/>
          <w:szCs w:val="24"/>
        </w:rPr>
        <w:t xml:space="preserve">leaving school with no or low qualifications </w:t>
      </w:r>
      <w:r>
        <w:rPr>
          <w:rFonts w:ascii="Arial" w:hAnsi="Arial" w:cs="Arial"/>
          <w:sz w:val="24"/>
          <w:szCs w:val="24"/>
        </w:rPr>
        <w:t xml:space="preserve">and </w:t>
      </w:r>
      <w:r w:rsidR="002F6534" w:rsidRPr="00F631BA">
        <w:rPr>
          <w:rFonts w:ascii="Arial" w:hAnsi="Arial" w:cs="Arial"/>
          <w:sz w:val="24"/>
          <w:szCs w:val="24"/>
        </w:rPr>
        <w:t xml:space="preserve">at </w:t>
      </w:r>
      <w:r>
        <w:rPr>
          <w:rFonts w:ascii="Arial" w:hAnsi="Arial" w:cs="Arial"/>
          <w:sz w:val="24"/>
          <w:szCs w:val="24"/>
        </w:rPr>
        <w:t xml:space="preserve">greater </w:t>
      </w:r>
      <w:r w:rsidR="002F6534" w:rsidRPr="00F631BA">
        <w:rPr>
          <w:rFonts w:ascii="Arial" w:hAnsi="Arial" w:cs="Arial"/>
          <w:sz w:val="24"/>
          <w:szCs w:val="24"/>
        </w:rPr>
        <w:t>risk of limited employment.</w:t>
      </w:r>
    </w:p>
    <w:p w14:paraId="1324A471" w14:textId="77777777" w:rsidR="0004218F" w:rsidRDefault="0004218F" w:rsidP="008F03DF">
      <w:pPr>
        <w:pStyle w:val="ListParagraph"/>
        <w:spacing w:before="120" w:after="120" w:line="240" w:lineRule="atLeast"/>
        <w:ind w:left="0"/>
        <w:contextualSpacing w:val="0"/>
        <w:jc w:val="center"/>
        <w:rPr>
          <w:rFonts w:ascii="Arial" w:hAnsi="Arial" w:cs="Arial"/>
          <w:sz w:val="24"/>
          <w:szCs w:val="24"/>
        </w:rPr>
      </w:pPr>
    </w:p>
    <w:p w14:paraId="7FC53A32" w14:textId="77777777" w:rsidR="00EF6664" w:rsidRDefault="00EF6664" w:rsidP="008F03DF">
      <w:pPr>
        <w:pStyle w:val="ListParagraph"/>
        <w:spacing w:before="120" w:after="120" w:line="240" w:lineRule="atLeast"/>
        <w:ind w:left="0"/>
        <w:contextualSpacing w:val="0"/>
        <w:jc w:val="center"/>
        <w:rPr>
          <w:rFonts w:ascii="Arial" w:hAnsi="Arial" w:cs="Arial"/>
          <w:sz w:val="24"/>
          <w:szCs w:val="24"/>
        </w:rPr>
      </w:pPr>
      <w:r>
        <w:rPr>
          <w:noProof/>
          <w:lang w:eastAsia="en-NZ"/>
        </w:rPr>
        <w:drawing>
          <wp:inline distT="0" distB="0" distL="0" distR="0" wp14:anchorId="09D98B61" wp14:editId="6EDD172D">
            <wp:extent cx="4572000" cy="2743200"/>
            <wp:effectExtent l="0" t="0" r="0" b="0"/>
            <wp:docPr id="54" name="Picture 54" descr="Bar graph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ar graph described above."/>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4C568461" w14:textId="77777777" w:rsidR="00EF6664" w:rsidRDefault="00EF6664" w:rsidP="008F03DF">
      <w:pPr>
        <w:pStyle w:val="ListParagraph"/>
        <w:spacing w:before="120" w:after="120" w:line="240" w:lineRule="atLeast"/>
        <w:ind w:left="0"/>
        <w:contextualSpacing w:val="0"/>
        <w:jc w:val="center"/>
        <w:rPr>
          <w:rFonts w:ascii="Arial" w:hAnsi="Arial" w:cs="Arial"/>
          <w:sz w:val="24"/>
          <w:szCs w:val="24"/>
        </w:rPr>
      </w:pPr>
    </w:p>
    <w:p w14:paraId="2E214C97" w14:textId="299D895B" w:rsidR="0004218F" w:rsidRDefault="0004218F" w:rsidP="00CD315B">
      <w:pPr>
        <w:pStyle w:val="ListParagraph"/>
        <w:keepNext/>
        <w:numPr>
          <w:ilvl w:val="0"/>
          <w:numId w:val="39"/>
        </w:numPr>
        <w:spacing w:before="120" w:after="120" w:line="240" w:lineRule="atLeast"/>
        <w:ind w:left="567" w:hanging="567"/>
        <w:contextualSpacing w:val="0"/>
        <w:rPr>
          <w:rFonts w:ascii="Arial" w:hAnsi="Arial" w:cs="Arial"/>
          <w:sz w:val="24"/>
          <w:szCs w:val="24"/>
        </w:rPr>
      </w:pPr>
      <w:r w:rsidRPr="00AF6E4F">
        <w:rPr>
          <w:rFonts w:ascii="Arial" w:hAnsi="Arial" w:cs="Arial"/>
          <w:sz w:val="24"/>
          <w:szCs w:val="24"/>
        </w:rPr>
        <w:t xml:space="preserve">Students who leave school at 16 are three times more likely to be </w:t>
      </w:r>
      <w:r w:rsidR="00767283">
        <w:rPr>
          <w:rFonts w:ascii="Arial" w:hAnsi="Arial" w:cs="Arial"/>
          <w:sz w:val="24"/>
          <w:szCs w:val="24"/>
        </w:rPr>
        <w:t>NEET</w:t>
      </w:r>
      <w:r w:rsidRPr="00AF6E4F">
        <w:rPr>
          <w:rFonts w:ascii="Arial" w:hAnsi="Arial" w:cs="Arial"/>
          <w:sz w:val="24"/>
          <w:szCs w:val="24"/>
        </w:rPr>
        <w:t xml:space="preserve">. These students are also more likely to have been stood down, been highly transient </w:t>
      </w:r>
      <w:r w:rsidRPr="00AF6E4F">
        <w:rPr>
          <w:rFonts w:ascii="Arial" w:hAnsi="Arial" w:cs="Arial"/>
          <w:sz w:val="24"/>
          <w:szCs w:val="24"/>
        </w:rPr>
        <w:lastRenderedPageBreak/>
        <w:t>and/or truant and received learning support.</w:t>
      </w:r>
      <w:r w:rsidR="007E6E37">
        <w:rPr>
          <w:rFonts w:ascii="Arial" w:hAnsi="Arial" w:cs="Arial"/>
          <w:sz w:val="24"/>
          <w:szCs w:val="24"/>
        </w:rPr>
        <w:t xml:space="preserve"> </w:t>
      </w:r>
      <w:r>
        <w:rPr>
          <w:rFonts w:ascii="Arial" w:hAnsi="Arial" w:cs="Arial"/>
          <w:sz w:val="24"/>
          <w:szCs w:val="24"/>
        </w:rPr>
        <w:t xml:space="preserve">While </w:t>
      </w:r>
      <w:r w:rsidR="00C849D5">
        <w:rPr>
          <w:rFonts w:ascii="Arial" w:hAnsi="Arial" w:cs="Arial"/>
          <w:sz w:val="24"/>
          <w:szCs w:val="24"/>
        </w:rPr>
        <w:t xml:space="preserve">school </w:t>
      </w:r>
      <w:r>
        <w:rPr>
          <w:rFonts w:ascii="Arial" w:hAnsi="Arial" w:cs="Arial"/>
          <w:sz w:val="24"/>
          <w:szCs w:val="24"/>
        </w:rPr>
        <w:t xml:space="preserve">stand-down rates have increased since 2015, the rate of </w:t>
      </w:r>
      <w:r w:rsidR="00767283">
        <w:rPr>
          <w:rFonts w:ascii="Arial" w:hAnsi="Arial" w:cs="Arial"/>
          <w:sz w:val="24"/>
          <w:szCs w:val="24"/>
        </w:rPr>
        <w:t>transience</w:t>
      </w:r>
      <w:r w:rsidR="00767283">
        <w:rPr>
          <w:rStyle w:val="FootnoteReference"/>
          <w:rFonts w:ascii="Arial" w:hAnsi="Arial" w:cs="Arial"/>
          <w:sz w:val="24"/>
          <w:szCs w:val="24"/>
        </w:rPr>
        <w:footnoteReference w:id="2"/>
      </w:r>
      <w:r w:rsidR="00767283">
        <w:rPr>
          <w:rFonts w:ascii="Arial" w:hAnsi="Arial" w:cs="Arial"/>
          <w:sz w:val="24"/>
          <w:szCs w:val="24"/>
        </w:rPr>
        <w:t xml:space="preserve"> </w:t>
      </w:r>
      <w:r>
        <w:rPr>
          <w:rFonts w:ascii="Arial" w:hAnsi="Arial" w:cs="Arial"/>
          <w:sz w:val="24"/>
          <w:szCs w:val="24"/>
        </w:rPr>
        <w:t xml:space="preserve">has decreased since 2016. </w:t>
      </w:r>
    </w:p>
    <w:p w14:paraId="4E83FE0B" w14:textId="4C7C323B" w:rsidR="0004218F" w:rsidRPr="00AF6E4F" w:rsidRDefault="0004218F" w:rsidP="008F03DF">
      <w:pPr>
        <w:pStyle w:val="ListParagraph"/>
        <w:keepNext/>
        <w:spacing w:before="120" w:after="120" w:line="240" w:lineRule="atLeast"/>
        <w:ind w:left="0"/>
        <w:contextualSpacing w:val="0"/>
        <w:rPr>
          <w:rFonts w:ascii="Arial" w:hAnsi="Arial" w:cs="Arial"/>
          <w:sz w:val="24"/>
          <w:szCs w:val="24"/>
        </w:rPr>
      </w:pPr>
      <w:r w:rsidRPr="00AF6E4F">
        <w:rPr>
          <w:rFonts w:ascii="Arial" w:hAnsi="Arial" w:cs="Arial"/>
          <w:b/>
          <w:bCs/>
          <w:color w:val="414042"/>
          <w:sz w:val="24"/>
          <w:szCs w:val="24"/>
          <w:shd w:val="clear" w:color="auto" w:fill="FFFFFF"/>
        </w:rPr>
        <w:t xml:space="preserve">Age-standardised </w:t>
      </w:r>
      <w:r w:rsidR="00C849D5">
        <w:rPr>
          <w:rFonts w:ascii="Arial" w:hAnsi="Arial" w:cs="Arial"/>
          <w:b/>
          <w:bCs/>
          <w:color w:val="414042"/>
          <w:sz w:val="24"/>
          <w:szCs w:val="24"/>
          <w:shd w:val="clear" w:color="auto" w:fill="FFFFFF"/>
        </w:rPr>
        <w:t xml:space="preserve">school </w:t>
      </w:r>
      <w:r w:rsidRPr="00AF6E4F">
        <w:rPr>
          <w:rFonts w:ascii="Arial" w:hAnsi="Arial" w:cs="Arial"/>
          <w:b/>
          <w:bCs/>
          <w:color w:val="414042"/>
          <w:sz w:val="24"/>
          <w:szCs w:val="24"/>
          <w:shd w:val="clear" w:color="auto" w:fill="FFFFFF"/>
        </w:rPr>
        <w:t>stand-down rates (2000 to 2019)</w:t>
      </w:r>
    </w:p>
    <w:p w14:paraId="38B5C6E3" w14:textId="68C5EFAD" w:rsidR="0004218F" w:rsidRDefault="0004218F" w:rsidP="008F03DF">
      <w:pPr>
        <w:spacing w:before="120" w:after="120" w:line="240" w:lineRule="atLeast"/>
        <w:jc w:val="center"/>
        <w:rPr>
          <w:rFonts w:ascii="Arial" w:hAnsi="Arial" w:cs="Arial"/>
          <w:i/>
          <w:sz w:val="24"/>
          <w:szCs w:val="24"/>
        </w:rPr>
      </w:pPr>
      <w:r w:rsidRPr="00AF6E4F">
        <w:rPr>
          <w:rFonts w:ascii="Arial" w:hAnsi="Arial" w:cs="Arial"/>
          <w:noProof/>
          <w:sz w:val="24"/>
          <w:szCs w:val="24"/>
          <w:lang w:eastAsia="en-NZ"/>
        </w:rPr>
        <w:drawing>
          <wp:inline distT="0" distB="0" distL="0" distR="0" wp14:anchorId="0B6DACA3" wp14:editId="590CA178">
            <wp:extent cx="3162300" cy="1985108"/>
            <wp:effectExtent l="0" t="0" r="0" b="0"/>
            <wp:docPr id="52" name="Picture 52" descr="Age-standardised school stand-down rates, between 2000 and 2019. While stand-down rates decreased between 2007 and 2015, they have risen sharply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ge-standardised school stand-down rates, between 2000 and 2019. While stand-down rates decreased between 2007 and 2015, they have risen sharply to 20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5519" cy="1999684"/>
                    </a:xfrm>
                    <a:prstGeom prst="rect">
                      <a:avLst/>
                    </a:prstGeom>
                    <a:noFill/>
                    <a:ln>
                      <a:noFill/>
                    </a:ln>
                  </pic:spPr>
                </pic:pic>
              </a:graphicData>
            </a:graphic>
          </wp:inline>
        </w:drawing>
      </w:r>
    </w:p>
    <w:p w14:paraId="2D347CFC" w14:textId="77777777" w:rsidR="00767283" w:rsidRDefault="00767283" w:rsidP="00767283">
      <w:pPr>
        <w:pStyle w:val="ListParagraph"/>
        <w:keepNext/>
        <w:spacing w:before="120" w:after="120" w:line="240" w:lineRule="atLeast"/>
        <w:ind w:left="0"/>
        <w:contextualSpacing w:val="0"/>
        <w:rPr>
          <w:rFonts w:ascii="Arial" w:hAnsi="Arial" w:cs="Arial"/>
          <w:b/>
          <w:bCs/>
          <w:color w:val="414042"/>
          <w:sz w:val="24"/>
          <w:szCs w:val="24"/>
          <w:shd w:val="clear" w:color="auto" w:fill="FFFFFF"/>
        </w:rPr>
      </w:pPr>
      <w:r>
        <w:t xml:space="preserve">Source: </w:t>
      </w:r>
      <w:proofErr w:type="spellStart"/>
      <w:r>
        <w:t>EdCounts</w:t>
      </w:r>
      <w:proofErr w:type="spellEnd"/>
      <w:r>
        <w:t xml:space="preserve"> </w:t>
      </w:r>
      <w:hyperlink r:id="rId19" w:history="1">
        <w:r w:rsidRPr="006F3736">
          <w:rPr>
            <w:rStyle w:val="Hyperlink"/>
          </w:rPr>
          <w:t>https://www.educationcounts.govt.nz/indicators/main/student-engagement-participation/Stand-downs-suspensions-exclusions-expulsions</w:t>
        </w:r>
      </w:hyperlink>
      <w:r>
        <w:t xml:space="preserve"> </w:t>
      </w:r>
    </w:p>
    <w:p w14:paraId="309BB29B" w14:textId="77777777" w:rsidR="0004218F" w:rsidRPr="00911C51" w:rsidRDefault="0004218F" w:rsidP="008F03DF">
      <w:pPr>
        <w:pStyle w:val="ListParagraph"/>
        <w:keepNext/>
        <w:spacing w:before="120" w:after="120" w:line="240" w:lineRule="atLeast"/>
        <w:ind w:left="0"/>
        <w:contextualSpacing w:val="0"/>
        <w:rPr>
          <w:rFonts w:ascii="Arial" w:hAnsi="Arial" w:cs="Arial"/>
          <w:b/>
          <w:bCs/>
          <w:color w:val="414042"/>
          <w:sz w:val="24"/>
          <w:szCs w:val="24"/>
          <w:shd w:val="clear" w:color="auto" w:fill="FFFFFF"/>
        </w:rPr>
      </w:pPr>
      <w:r w:rsidRPr="00911C51">
        <w:rPr>
          <w:rFonts w:ascii="Arial" w:hAnsi="Arial" w:cs="Arial"/>
          <w:b/>
          <w:bCs/>
          <w:color w:val="414042"/>
          <w:sz w:val="24"/>
          <w:szCs w:val="24"/>
          <w:shd w:val="clear" w:color="auto" w:fill="FFFFFF"/>
        </w:rPr>
        <w:t>Transient</w:t>
      </w:r>
      <w:r>
        <w:rPr>
          <w:rFonts w:ascii="Arial" w:hAnsi="Arial" w:cs="Arial"/>
          <w:b/>
          <w:bCs/>
          <w:color w:val="414042"/>
          <w:sz w:val="24"/>
          <w:szCs w:val="24"/>
          <w:shd w:val="clear" w:color="auto" w:fill="FFFFFF"/>
        </w:rPr>
        <w:t xml:space="preserve"> </w:t>
      </w:r>
      <w:r w:rsidRPr="00911C51">
        <w:rPr>
          <w:rFonts w:ascii="Arial" w:hAnsi="Arial" w:cs="Arial"/>
          <w:b/>
          <w:bCs/>
          <w:color w:val="414042"/>
          <w:sz w:val="24"/>
          <w:szCs w:val="24"/>
          <w:shd w:val="clear" w:color="auto" w:fill="FFFFFF"/>
        </w:rPr>
        <w:t>s</w:t>
      </w:r>
      <w:r>
        <w:rPr>
          <w:rFonts w:ascii="Arial" w:hAnsi="Arial" w:cs="Arial"/>
          <w:b/>
          <w:bCs/>
          <w:color w:val="414042"/>
          <w:sz w:val="24"/>
          <w:szCs w:val="24"/>
          <w:shd w:val="clear" w:color="auto" w:fill="FFFFFF"/>
        </w:rPr>
        <w:t>tudents</w:t>
      </w:r>
      <w:r w:rsidRPr="00911C51">
        <w:rPr>
          <w:rFonts w:ascii="Arial" w:hAnsi="Arial" w:cs="Arial"/>
          <w:b/>
          <w:bCs/>
          <w:color w:val="414042"/>
          <w:sz w:val="24"/>
          <w:szCs w:val="24"/>
          <w:shd w:val="clear" w:color="auto" w:fill="FFFFFF"/>
        </w:rPr>
        <w:t xml:space="preserve"> per 1,000 enrolled students (2011 - 2019)</w:t>
      </w:r>
    </w:p>
    <w:p w14:paraId="601FAA5D" w14:textId="41D72E7E" w:rsidR="0004218F" w:rsidRDefault="0004218F" w:rsidP="008F03DF">
      <w:pPr>
        <w:spacing w:before="120" w:after="120" w:line="240" w:lineRule="atLeast"/>
        <w:jc w:val="center"/>
      </w:pPr>
      <w:r w:rsidRPr="00911C51">
        <w:rPr>
          <w:noProof/>
          <w:lang w:eastAsia="en-NZ"/>
        </w:rPr>
        <w:drawing>
          <wp:inline distT="0" distB="0" distL="0" distR="0" wp14:anchorId="42B7DEBA" wp14:editId="4835343F">
            <wp:extent cx="3362956" cy="1990725"/>
            <wp:effectExtent l="0" t="0" r="9525" b="0"/>
            <wp:docPr id="51" name="Picture 51" descr="Transient rates have fallen by approximately 2.5 students per thousand enrolled students between 2011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ransient rates have fallen by approximately 2.5 students per thousand enrolled students between 2011 and 2019"/>
                    <pic:cNvPicPr/>
                  </pic:nvPicPr>
                  <pic:blipFill>
                    <a:blip r:embed="rId20"/>
                    <a:stretch>
                      <a:fillRect/>
                    </a:stretch>
                  </pic:blipFill>
                  <pic:spPr>
                    <a:xfrm>
                      <a:off x="0" y="0"/>
                      <a:ext cx="3388931" cy="2006101"/>
                    </a:xfrm>
                    <a:prstGeom prst="rect">
                      <a:avLst/>
                    </a:prstGeom>
                  </pic:spPr>
                </pic:pic>
              </a:graphicData>
            </a:graphic>
          </wp:inline>
        </w:drawing>
      </w:r>
    </w:p>
    <w:p w14:paraId="5AF038C9" w14:textId="32DD9FEC" w:rsidR="00CD315B" w:rsidRDefault="00767283" w:rsidP="00CD315B">
      <w:pPr>
        <w:rPr>
          <w:b/>
        </w:rPr>
      </w:pPr>
      <w:r w:rsidRPr="00CD315B">
        <w:t xml:space="preserve">Source: </w:t>
      </w:r>
      <w:proofErr w:type="spellStart"/>
      <w:r w:rsidRPr="00CD315B">
        <w:t>EdCounts</w:t>
      </w:r>
      <w:proofErr w:type="spellEnd"/>
      <w:r w:rsidR="00CD315B">
        <w:t xml:space="preserve">: </w:t>
      </w:r>
      <w:hyperlink r:id="rId21" w:history="1">
        <w:r w:rsidR="00CD315B" w:rsidRPr="00160281">
          <w:rPr>
            <w:rStyle w:val="Hyperlink"/>
          </w:rPr>
          <w:t>https://www.educationcounts.govt.nz/indicators/main/student-engagement-participation/transient-students</w:t>
        </w:r>
      </w:hyperlink>
      <w:r w:rsidR="00CD315B">
        <w:t xml:space="preserve"> </w:t>
      </w:r>
    </w:p>
    <w:p w14:paraId="21DFB394" w14:textId="493D97AA" w:rsidR="004008E2" w:rsidRPr="00B614E2" w:rsidRDefault="004008E2" w:rsidP="008F03DF">
      <w:pPr>
        <w:pStyle w:val="Heading2"/>
        <w:spacing w:before="120" w:after="120" w:line="240" w:lineRule="atLeast"/>
        <w:rPr>
          <w:rFonts w:ascii="Calibri Light" w:hAnsi="Calibri Light" w:cs="Calibri Light"/>
          <w:color w:val="365F91" w:themeColor="accent1" w:themeShade="BF"/>
        </w:rPr>
      </w:pPr>
      <w:r w:rsidRPr="00B614E2">
        <w:rPr>
          <w:rFonts w:ascii="Calibri Light" w:hAnsi="Calibri Light" w:cs="Calibri Light"/>
          <w:color w:val="365F91" w:themeColor="accent1" w:themeShade="BF"/>
        </w:rPr>
        <w:t>Young people in the labour market</w:t>
      </w:r>
    </w:p>
    <w:p w14:paraId="1DF8ECD0" w14:textId="551E1BC5" w:rsidR="000A5FB5" w:rsidRDefault="002B2A95"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AF6E4F">
        <w:rPr>
          <w:rFonts w:ascii="Arial" w:hAnsi="Arial" w:cs="Arial"/>
          <w:sz w:val="24"/>
          <w:szCs w:val="24"/>
        </w:rPr>
        <w:t>Young people have lower rates of employment than other age groups</w:t>
      </w:r>
      <w:r w:rsidR="00A33F68">
        <w:rPr>
          <w:rFonts w:ascii="Arial" w:hAnsi="Arial" w:cs="Arial"/>
          <w:sz w:val="24"/>
          <w:szCs w:val="24"/>
        </w:rPr>
        <w:t>;</w:t>
      </w:r>
      <w:r w:rsidRPr="00AF6E4F">
        <w:rPr>
          <w:rFonts w:ascii="Arial" w:hAnsi="Arial" w:cs="Arial"/>
          <w:sz w:val="24"/>
          <w:szCs w:val="24"/>
        </w:rPr>
        <w:t xml:space="preserve"> however</w:t>
      </w:r>
      <w:r w:rsidR="00A33F68">
        <w:rPr>
          <w:rFonts w:ascii="Arial" w:hAnsi="Arial" w:cs="Arial"/>
          <w:sz w:val="24"/>
          <w:szCs w:val="24"/>
        </w:rPr>
        <w:t>,</w:t>
      </w:r>
      <w:r w:rsidRPr="00AF6E4F">
        <w:rPr>
          <w:rFonts w:ascii="Arial" w:hAnsi="Arial" w:cs="Arial"/>
          <w:sz w:val="24"/>
          <w:szCs w:val="24"/>
        </w:rPr>
        <w:t xml:space="preserve"> this is not always a cause for concern due to</w:t>
      </w:r>
      <w:r w:rsidR="00FA05A9">
        <w:rPr>
          <w:rFonts w:ascii="Arial" w:hAnsi="Arial" w:cs="Arial"/>
          <w:sz w:val="24"/>
          <w:szCs w:val="24"/>
        </w:rPr>
        <w:t xml:space="preserve"> the</w:t>
      </w:r>
      <w:r w:rsidRPr="00AF6E4F">
        <w:rPr>
          <w:rFonts w:ascii="Arial" w:hAnsi="Arial" w:cs="Arial"/>
          <w:sz w:val="24"/>
          <w:szCs w:val="24"/>
        </w:rPr>
        <w:t xml:space="preserve"> high levels of participation in education</w:t>
      </w:r>
      <w:r w:rsidR="00FA05A9">
        <w:rPr>
          <w:rFonts w:ascii="Arial" w:hAnsi="Arial" w:cs="Arial"/>
          <w:sz w:val="24"/>
          <w:szCs w:val="24"/>
        </w:rPr>
        <w:t xml:space="preserve"> among this age group</w:t>
      </w:r>
      <w:r w:rsidRPr="00AF6E4F">
        <w:rPr>
          <w:rFonts w:ascii="Arial" w:hAnsi="Arial" w:cs="Arial"/>
          <w:sz w:val="24"/>
          <w:szCs w:val="24"/>
        </w:rPr>
        <w:t xml:space="preserve">. However, a notable segment of the youth population face challenges to attaining skills and transitioning to the labour market or further education. </w:t>
      </w:r>
      <w:r w:rsidR="00FA05A9">
        <w:rPr>
          <w:rFonts w:ascii="Arial" w:hAnsi="Arial" w:cs="Arial"/>
          <w:sz w:val="24"/>
          <w:szCs w:val="24"/>
        </w:rPr>
        <w:t xml:space="preserve">The </w:t>
      </w:r>
      <w:r w:rsidR="002B341E">
        <w:rPr>
          <w:rFonts w:ascii="Arial" w:hAnsi="Arial" w:cs="Arial"/>
          <w:sz w:val="24"/>
          <w:szCs w:val="24"/>
        </w:rPr>
        <w:t>graph below sets out the labour force</w:t>
      </w:r>
      <w:r w:rsidR="002E7030">
        <w:rPr>
          <w:rFonts w:ascii="Arial" w:hAnsi="Arial" w:cs="Arial"/>
          <w:sz w:val="24"/>
          <w:szCs w:val="24"/>
        </w:rPr>
        <w:t xml:space="preserve"> and education</w:t>
      </w:r>
      <w:r w:rsidR="002B341E">
        <w:rPr>
          <w:rFonts w:ascii="Arial" w:hAnsi="Arial" w:cs="Arial"/>
          <w:sz w:val="24"/>
          <w:szCs w:val="24"/>
        </w:rPr>
        <w:t xml:space="preserve"> status of 15 – </w:t>
      </w:r>
      <w:proofErr w:type="gramStart"/>
      <w:r w:rsidR="002B341E">
        <w:rPr>
          <w:rFonts w:ascii="Arial" w:hAnsi="Arial" w:cs="Arial"/>
          <w:sz w:val="24"/>
          <w:szCs w:val="24"/>
        </w:rPr>
        <w:t>24 year</w:t>
      </w:r>
      <w:proofErr w:type="gramEnd"/>
      <w:r w:rsidR="002B341E">
        <w:rPr>
          <w:rFonts w:ascii="Arial" w:hAnsi="Arial" w:cs="Arial"/>
          <w:sz w:val="24"/>
          <w:szCs w:val="24"/>
        </w:rPr>
        <w:t xml:space="preserve"> olds</w:t>
      </w:r>
      <w:r w:rsidR="002E7030">
        <w:rPr>
          <w:rFonts w:ascii="Arial" w:hAnsi="Arial" w:cs="Arial"/>
          <w:sz w:val="24"/>
          <w:szCs w:val="24"/>
        </w:rPr>
        <w:t xml:space="preserve">, showing the vast majority are in employment and/or education. </w:t>
      </w:r>
      <w:r w:rsidR="00D20BC2">
        <w:rPr>
          <w:rFonts w:ascii="Arial" w:hAnsi="Arial" w:cs="Arial"/>
          <w:sz w:val="24"/>
          <w:szCs w:val="24"/>
        </w:rPr>
        <w:t>Around</w:t>
      </w:r>
      <w:r w:rsidR="002E7030">
        <w:rPr>
          <w:rFonts w:ascii="Arial" w:hAnsi="Arial" w:cs="Arial"/>
          <w:sz w:val="24"/>
          <w:szCs w:val="24"/>
        </w:rPr>
        <w:t xml:space="preserve"> 90,000 young people are either unemployed and not in education, not in the labour force due to caregiving responsibilities or are not in the labour force or education and not caregiving.</w:t>
      </w:r>
      <w:r w:rsidR="00B05305">
        <w:rPr>
          <w:rFonts w:ascii="Arial" w:hAnsi="Arial" w:cs="Arial"/>
          <w:sz w:val="24"/>
          <w:szCs w:val="24"/>
        </w:rPr>
        <w:t xml:space="preserve"> </w:t>
      </w:r>
      <w:r w:rsidR="00B05305" w:rsidRPr="00AF6E4F">
        <w:rPr>
          <w:rFonts w:ascii="Arial" w:hAnsi="Arial" w:cs="Arial"/>
          <w:sz w:val="24"/>
          <w:szCs w:val="24"/>
        </w:rPr>
        <w:t>Young women also have higher NEET rates, partially due to caring</w:t>
      </w:r>
      <w:r w:rsidR="00A33F68">
        <w:rPr>
          <w:rFonts w:ascii="Arial" w:hAnsi="Arial" w:cs="Arial"/>
          <w:sz w:val="24"/>
          <w:szCs w:val="24"/>
        </w:rPr>
        <w:t xml:space="preserve"> </w:t>
      </w:r>
      <w:r w:rsidR="00B05305" w:rsidRPr="00AF6E4F">
        <w:rPr>
          <w:rFonts w:ascii="Arial" w:hAnsi="Arial" w:cs="Arial"/>
          <w:sz w:val="24"/>
          <w:szCs w:val="24"/>
        </w:rPr>
        <w:t>responsibilities.</w:t>
      </w:r>
    </w:p>
    <w:p w14:paraId="71A1BC4E" w14:textId="588278A2" w:rsidR="00F631BA" w:rsidRPr="008B1D09" w:rsidRDefault="00E620DD" w:rsidP="00CD315B">
      <w:pPr>
        <w:pStyle w:val="ListParagraph"/>
        <w:numPr>
          <w:ilvl w:val="0"/>
          <w:numId w:val="39"/>
        </w:numPr>
        <w:spacing w:before="120" w:after="120" w:line="240" w:lineRule="atLeast"/>
        <w:ind w:left="567" w:hanging="567"/>
        <w:contextualSpacing w:val="0"/>
        <w:rPr>
          <w:rFonts w:ascii="Arial" w:hAnsi="Arial" w:cs="Arial"/>
          <w:sz w:val="24"/>
          <w:szCs w:val="24"/>
        </w:rPr>
      </w:pPr>
      <w:r>
        <w:rPr>
          <w:rFonts w:ascii="Arial" w:hAnsi="Arial" w:cs="Arial"/>
          <w:sz w:val="24"/>
          <w:szCs w:val="24"/>
        </w:rPr>
        <w:lastRenderedPageBreak/>
        <w:t xml:space="preserve">We know that in recessions, as employers need to make hard decisions about their business and workforce, the impact is often most felt by new entrants to the labour market. Employers are less likely to take a chance on a young person entering the workforce for the first time. </w:t>
      </w:r>
      <w:r w:rsidRPr="00E620DD">
        <w:rPr>
          <w:rFonts w:ascii="Arial" w:hAnsi="Arial" w:cs="Arial"/>
          <w:sz w:val="24"/>
          <w:szCs w:val="24"/>
        </w:rPr>
        <w:t>Data from past recessions showed the unemployment rate for 15- to 24-year-olds rose from about 9 to 15</w:t>
      </w:r>
      <w:r w:rsidR="00710711">
        <w:rPr>
          <w:rFonts w:ascii="Arial" w:hAnsi="Arial" w:cs="Arial"/>
          <w:sz w:val="24"/>
          <w:szCs w:val="24"/>
        </w:rPr>
        <w:t xml:space="preserve">% </w:t>
      </w:r>
      <w:r w:rsidRPr="00E620DD">
        <w:rPr>
          <w:rFonts w:ascii="Arial" w:hAnsi="Arial" w:cs="Arial"/>
          <w:sz w:val="24"/>
          <w:szCs w:val="24"/>
        </w:rPr>
        <w:t>compared with an increase from 3.5 to 6.5</w:t>
      </w:r>
      <w:r w:rsidR="00710711">
        <w:rPr>
          <w:rFonts w:ascii="Arial" w:hAnsi="Arial" w:cs="Arial"/>
          <w:sz w:val="24"/>
          <w:szCs w:val="24"/>
        </w:rPr>
        <w:t xml:space="preserve">% </w:t>
      </w:r>
      <w:r w:rsidRPr="00E620DD">
        <w:rPr>
          <w:rFonts w:ascii="Arial" w:hAnsi="Arial" w:cs="Arial"/>
          <w:sz w:val="24"/>
          <w:szCs w:val="24"/>
        </w:rPr>
        <w:t>for the general population.</w:t>
      </w:r>
    </w:p>
    <w:p w14:paraId="3EB15B7A" w14:textId="77777777" w:rsidR="00CD315B" w:rsidRDefault="008B1D09" w:rsidP="008F03DF">
      <w:pPr>
        <w:keepNext/>
        <w:spacing w:before="120" w:after="120" w:line="240" w:lineRule="atLeast"/>
      </w:pPr>
      <w:r>
        <w:rPr>
          <w:noProof/>
          <w:lang w:eastAsia="en-NZ"/>
        </w:rPr>
        <w:drawing>
          <wp:inline distT="0" distB="0" distL="0" distR="0" wp14:anchorId="47EBCD74" wp14:editId="067D2B80">
            <wp:extent cx="5543550" cy="3409950"/>
            <wp:effectExtent l="0" t="0" r="0" b="0"/>
            <wp:docPr id="3" name="Chart 3" descr="Line graph: Employment by Age and Gender 1986-2021. Trends described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79AAA0" w14:textId="27C935DF" w:rsidR="00CD315B" w:rsidRPr="00CD315B" w:rsidRDefault="00CD315B" w:rsidP="00CD315B">
      <w:pPr>
        <w:spacing w:before="120" w:after="120" w:line="240" w:lineRule="atLeast"/>
        <w:rPr>
          <w:rFonts w:ascii="Arial" w:hAnsi="Arial"/>
          <w:sz w:val="18"/>
          <w:szCs w:val="18"/>
        </w:rPr>
      </w:pPr>
      <w:r w:rsidRPr="00710711">
        <w:rPr>
          <w:rStyle w:val="CommentReference"/>
          <w:rFonts w:ascii="Arial" w:hAnsi="Arial" w:cs="Arial"/>
          <w:sz w:val="18"/>
          <w:szCs w:val="18"/>
        </w:rPr>
        <w:t>Source: Household Labour Force Survey</w:t>
      </w:r>
    </w:p>
    <w:p w14:paraId="3DAA454C" w14:textId="77777777" w:rsidR="00CD315B" w:rsidRDefault="00CD315B" w:rsidP="008F03DF">
      <w:pPr>
        <w:keepNext/>
        <w:spacing w:before="120" w:after="120" w:line="240" w:lineRule="atLeast"/>
      </w:pPr>
    </w:p>
    <w:p w14:paraId="64C1E6E2" w14:textId="350F1A88" w:rsidR="003B722B" w:rsidRDefault="008B1D09" w:rsidP="008F03DF">
      <w:pPr>
        <w:keepNext/>
        <w:spacing w:before="120" w:after="120" w:line="240" w:lineRule="atLeast"/>
      </w:pPr>
      <w:r>
        <w:rPr>
          <w:noProof/>
          <w:lang w:eastAsia="en-NZ"/>
        </w:rPr>
        <w:drawing>
          <wp:inline distT="0" distB="0" distL="0" distR="0" wp14:anchorId="748C45EC" wp14:editId="1FE447D5">
            <wp:extent cx="5543550" cy="3143250"/>
            <wp:effectExtent l="0" t="0" r="0" b="0"/>
            <wp:docPr id="5" name="Chart 5" descr="Line graph: Unemployment by Age and Gender 1986-2021. Trends described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C35154" w14:textId="77777777" w:rsidR="002B2A95" w:rsidRPr="00710711" w:rsidRDefault="003B722B" w:rsidP="008F03DF">
      <w:pPr>
        <w:spacing w:before="120" w:after="120" w:line="240" w:lineRule="atLeast"/>
        <w:rPr>
          <w:rStyle w:val="CommentReference"/>
          <w:rFonts w:ascii="Arial" w:hAnsi="Arial"/>
          <w:sz w:val="18"/>
          <w:szCs w:val="18"/>
        </w:rPr>
      </w:pPr>
      <w:r w:rsidRPr="00710711">
        <w:rPr>
          <w:rStyle w:val="CommentReference"/>
          <w:rFonts w:ascii="Arial" w:hAnsi="Arial" w:cs="Arial"/>
          <w:sz w:val="18"/>
          <w:szCs w:val="18"/>
        </w:rPr>
        <w:t>Source: Household Labour Force Survey</w:t>
      </w:r>
    </w:p>
    <w:p w14:paraId="4913EC91" w14:textId="77777777" w:rsidR="00295640" w:rsidRPr="00534982" w:rsidRDefault="00295640" w:rsidP="008F03DF">
      <w:pPr>
        <w:keepNext/>
        <w:spacing w:before="120" w:after="120" w:line="240" w:lineRule="atLeast"/>
        <w:rPr>
          <w:rStyle w:val="Strong"/>
          <w:rFonts w:ascii="Arial" w:hAnsi="Arial"/>
          <w:i w:val="0"/>
          <w:color w:val="414042"/>
          <w:sz w:val="24"/>
          <w:shd w:val="clear" w:color="auto" w:fill="FFFFFF"/>
        </w:rPr>
      </w:pPr>
      <w:r w:rsidRPr="00295640">
        <w:rPr>
          <w:rStyle w:val="Strong"/>
          <w:rFonts w:ascii="Arial" w:hAnsi="Arial"/>
          <w:i w:val="0"/>
          <w:color w:val="414042"/>
          <w:sz w:val="24"/>
          <w:shd w:val="clear" w:color="auto" w:fill="FFFFFF"/>
        </w:rPr>
        <w:lastRenderedPageBreak/>
        <w:t xml:space="preserve"> </w:t>
      </w:r>
      <w:r>
        <w:rPr>
          <w:rStyle w:val="Strong"/>
          <w:rFonts w:ascii="Arial" w:hAnsi="Arial"/>
          <w:i w:val="0"/>
          <w:color w:val="414042"/>
          <w:sz w:val="24"/>
          <w:shd w:val="clear" w:color="auto" w:fill="FFFFFF"/>
        </w:rPr>
        <w:t>New Zealand youth activity by year of age, 2019</w:t>
      </w:r>
    </w:p>
    <w:p w14:paraId="1C6743A1" w14:textId="2B838123" w:rsidR="00295640" w:rsidRDefault="00295640" w:rsidP="008F03DF">
      <w:pPr>
        <w:spacing w:before="120" w:after="120" w:line="240" w:lineRule="atLeast"/>
        <w:rPr>
          <w:rStyle w:val="CommentReference"/>
          <w:rFonts w:ascii="Arial" w:hAnsi="Arial" w:cs="Arial"/>
          <w:sz w:val="24"/>
          <w:szCs w:val="24"/>
        </w:rPr>
      </w:pPr>
      <w:r>
        <w:rPr>
          <w:rStyle w:val="CommentReference"/>
          <w:rFonts w:ascii="Arial" w:hAnsi="Arial" w:cs="Arial"/>
          <w:noProof/>
          <w:sz w:val="24"/>
          <w:szCs w:val="24"/>
          <w:lang w:eastAsia="en-NZ"/>
        </w:rPr>
        <w:drawing>
          <wp:inline distT="0" distB="0" distL="0" distR="0" wp14:anchorId="314E30DB" wp14:editId="4C974FD1">
            <wp:extent cx="4856198" cy="3780000"/>
            <wp:effectExtent l="0" t="0" r="1905" b="0"/>
            <wp:docPr id="58" name="Picture 58" descr="Graph showing that the percentage of young people who are NEET is highest amongst 20 and 21 year olds (14% and 16%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 showing that the percentage of young people who are NEET is highest amongst 20 and 21 year olds (14% and 16% respectivel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6198" cy="3780000"/>
                    </a:xfrm>
                    <a:prstGeom prst="rect">
                      <a:avLst/>
                    </a:prstGeom>
                    <a:noFill/>
                  </pic:spPr>
                </pic:pic>
              </a:graphicData>
            </a:graphic>
          </wp:inline>
        </w:drawing>
      </w:r>
    </w:p>
    <w:p w14:paraId="6EFDF567" w14:textId="26F43AE4" w:rsidR="00CD315B" w:rsidRPr="00CD315B" w:rsidRDefault="00CD315B" w:rsidP="008F03DF">
      <w:pPr>
        <w:spacing w:before="120" w:after="120" w:line="240" w:lineRule="atLeast"/>
        <w:rPr>
          <w:rStyle w:val="CommentReference"/>
          <w:rFonts w:ascii="Arial" w:hAnsi="Arial" w:cs="Arial"/>
          <w:sz w:val="18"/>
          <w:szCs w:val="18"/>
        </w:rPr>
      </w:pPr>
      <w:r w:rsidRPr="003E37BC">
        <w:rPr>
          <w:rStyle w:val="CommentReference"/>
          <w:rFonts w:ascii="Arial" w:hAnsi="Arial" w:cs="Arial"/>
          <w:sz w:val="18"/>
          <w:szCs w:val="18"/>
        </w:rPr>
        <w:t xml:space="preserve">Source: Education Counts </w:t>
      </w:r>
      <w:hyperlink r:id="rId25" w:history="1">
        <w:r w:rsidRPr="002B341A">
          <w:rPr>
            <w:rStyle w:val="Hyperlink"/>
            <w:rFonts w:ascii="Arial" w:hAnsi="Arial" w:cs="Arial"/>
            <w:sz w:val="18"/>
            <w:szCs w:val="18"/>
          </w:rPr>
          <w:t>www.educationcounts.govt.nz/statistics/post-compulsory-education-and-training</w:t>
        </w:r>
      </w:hyperlink>
    </w:p>
    <w:p w14:paraId="17E95B96" w14:textId="77777777" w:rsidR="00CD315B" w:rsidRDefault="00CD315B" w:rsidP="008F03DF">
      <w:pPr>
        <w:spacing w:before="120" w:after="120" w:line="240" w:lineRule="atLeast"/>
        <w:rPr>
          <w:rStyle w:val="CommentReference"/>
          <w:rFonts w:ascii="Arial" w:hAnsi="Arial" w:cs="Arial"/>
          <w:sz w:val="24"/>
          <w:szCs w:val="24"/>
        </w:rPr>
      </w:pPr>
    </w:p>
    <w:p w14:paraId="409A3FDF" w14:textId="77777777" w:rsidR="00295640" w:rsidRPr="00B257F9" w:rsidRDefault="00295640" w:rsidP="008F03DF">
      <w:pPr>
        <w:spacing w:before="120" w:after="120" w:line="240" w:lineRule="atLeast"/>
        <w:rPr>
          <w:rStyle w:val="Strong"/>
          <w:rFonts w:ascii="Arial" w:hAnsi="Arial"/>
          <w:i w:val="0"/>
          <w:color w:val="414042"/>
          <w:sz w:val="24"/>
          <w:shd w:val="clear" w:color="auto" w:fill="FFFFFF"/>
        </w:rPr>
      </w:pPr>
      <w:r>
        <w:rPr>
          <w:rStyle w:val="Strong"/>
          <w:rFonts w:ascii="Arial" w:hAnsi="Arial"/>
          <w:i w:val="0"/>
          <w:color w:val="414042"/>
          <w:sz w:val="24"/>
          <w:shd w:val="clear" w:color="auto" w:fill="FFFFFF"/>
        </w:rPr>
        <w:t>New Zealand youth activity by age group and selected ethnicity, 2019</w:t>
      </w:r>
    </w:p>
    <w:p w14:paraId="78911351" w14:textId="77777777" w:rsidR="00295640" w:rsidRDefault="00295640" w:rsidP="008F03DF">
      <w:pPr>
        <w:spacing w:before="120" w:after="120" w:line="240" w:lineRule="atLeast"/>
        <w:rPr>
          <w:rStyle w:val="CommentReference"/>
          <w:rFonts w:ascii="Arial" w:hAnsi="Arial" w:cs="Arial"/>
          <w:sz w:val="18"/>
          <w:szCs w:val="18"/>
        </w:rPr>
      </w:pPr>
      <w:r>
        <w:rPr>
          <w:rStyle w:val="CommentReference"/>
          <w:rFonts w:ascii="Arial" w:hAnsi="Arial" w:cs="Arial"/>
          <w:noProof/>
          <w:sz w:val="18"/>
          <w:szCs w:val="18"/>
          <w:lang w:eastAsia="en-NZ"/>
        </w:rPr>
        <w:drawing>
          <wp:inline distT="0" distB="0" distL="0" distR="0" wp14:anchorId="7FCF61E8" wp14:editId="2892E359">
            <wp:extent cx="4856198" cy="3780000"/>
            <wp:effectExtent l="0" t="0" r="1905" b="0"/>
            <wp:docPr id="59" name="Picture 59" descr="Graph showing that the NEET rates for 20-24 year old Māori (20%) and Pacific people (19%) are higher than the total across ethnicities (12%). This is more pronounced than the difference at 16-19 years old where the NEET rates for Māori (12%) and Pacific People (11%) are slightly higher than the total NEET rate of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 showing that the NEET rates for 20-24 year old Māori (20%) and Pacific people (19%) are higher than the total across ethnicities (12%). This is more pronounced than the difference at 16-19 years old where the NEET rates for Māori (12%) and Pacific People (11%) are slightly higher than the total NEET rate of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6198" cy="3780000"/>
                    </a:xfrm>
                    <a:prstGeom prst="rect">
                      <a:avLst/>
                    </a:prstGeom>
                    <a:noFill/>
                  </pic:spPr>
                </pic:pic>
              </a:graphicData>
            </a:graphic>
          </wp:inline>
        </w:drawing>
      </w:r>
    </w:p>
    <w:p w14:paraId="20817300" w14:textId="4DABE3D8" w:rsidR="00C31CBA" w:rsidRPr="00622C16" w:rsidRDefault="00295640" w:rsidP="00622C16">
      <w:pPr>
        <w:spacing w:before="120" w:after="120" w:line="240" w:lineRule="atLeast"/>
        <w:rPr>
          <w:rFonts w:ascii="Arial" w:hAnsi="Arial" w:cs="Arial"/>
          <w:sz w:val="18"/>
          <w:szCs w:val="18"/>
        </w:rPr>
      </w:pPr>
      <w:r w:rsidRPr="003E37BC">
        <w:rPr>
          <w:rStyle w:val="CommentReference"/>
          <w:rFonts w:ascii="Arial" w:hAnsi="Arial" w:cs="Arial"/>
          <w:sz w:val="18"/>
          <w:szCs w:val="18"/>
        </w:rPr>
        <w:t xml:space="preserve">Source: Education Counts </w:t>
      </w:r>
      <w:hyperlink r:id="rId27" w:history="1">
        <w:r w:rsidRPr="002B341A">
          <w:rPr>
            <w:rStyle w:val="Hyperlink"/>
            <w:rFonts w:ascii="Arial" w:hAnsi="Arial" w:cs="Arial"/>
            <w:sz w:val="18"/>
            <w:szCs w:val="18"/>
          </w:rPr>
          <w:t>www.educationcounts.govt.nz/statistics/post-compulsory-education-and-training</w:t>
        </w:r>
      </w:hyperlink>
    </w:p>
    <w:p w14:paraId="21257B61" w14:textId="41677BD7" w:rsidR="002B2A95" w:rsidRPr="00AF6E4F" w:rsidRDefault="002B2A95"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AF6E4F">
        <w:rPr>
          <w:rFonts w:ascii="Arial" w:hAnsi="Arial" w:cs="Arial"/>
          <w:sz w:val="24"/>
          <w:szCs w:val="24"/>
        </w:rPr>
        <w:lastRenderedPageBreak/>
        <w:t>Labour market disadvantage is particularly marked for youth with disabilities and chronic health conditions. Disabled youth are much less likely to be employed or to be participating in education or training. The NEET rate for young disabled people aged 15–24 years was at 48.2</w:t>
      </w:r>
      <w:r w:rsidR="00710711">
        <w:rPr>
          <w:rFonts w:ascii="Arial" w:hAnsi="Arial" w:cs="Arial"/>
          <w:sz w:val="24"/>
          <w:szCs w:val="24"/>
        </w:rPr>
        <w:t xml:space="preserve">% </w:t>
      </w:r>
      <w:r w:rsidRPr="00AF6E4F">
        <w:rPr>
          <w:rFonts w:ascii="Arial" w:hAnsi="Arial" w:cs="Arial"/>
          <w:sz w:val="24"/>
          <w:szCs w:val="24"/>
        </w:rPr>
        <w:t>as at June 2020, compared with 10.6</w:t>
      </w:r>
      <w:r w:rsidR="00710711">
        <w:rPr>
          <w:rFonts w:ascii="Arial" w:hAnsi="Arial" w:cs="Arial"/>
          <w:sz w:val="24"/>
          <w:szCs w:val="24"/>
        </w:rPr>
        <w:t xml:space="preserve">% </w:t>
      </w:r>
      <w:r w:rsidRPr="00AF6E4F">
        <w:rPr>
          <w:rFonts w:ascii="Arial" w:hAnsi="Arial" w:cs="Arial"/>
          <w:sz w:val="24"/>
          <w:szCs w:val="24"/>
        </w:rPr>
        <w:t xml:space="preserve">for non-disabled youth. </w:t>
      </w:r>
    </w:p>
    <w:p w14:paraId="35FAEA71" w14:textId="25553643" w:rsidR="002B2A95" w:rsidRDefault="002B2A95" w:rsidP="008F03DF">
      <w:pPr>
        <w:spacing w:before="120" w:after="120" w:line="240" w:lineRule="atLeast"/>
        <w:jc w:val="center"/>
        <w:rPr>
          <w:rFonts w:ascii="Arial" w:hAnsi="Arial" w:cs="Arial"/>
          <w:sz w:val="24"/>
          <w:szCs w:val="24"/>
        </w:rPr>
      </w:pPr>
      <w:r w:rsidRPr="00AF6E4F">
        <w:rPr>
          <w:rFonts w:ascii="Arial" w:hAnsi="Arial" w:cs="Arial"/>
          <w:noProof/>
          <w:sz w:val="24"/>
          <w:szCs w:val="24"/>
          <w:lang w:eastAsia="en-NZ"/>
        </w:rPr>
        <w:drawing>
          <wp:inline distT="0" distB="0" distL="0" distR="0" wp14:anchorId="6671DED3" wp14:editId="43D6E47D">
            <wp:extent cx="3013544" cy="4088806"/>
            <wp:effectExtent l="0" t="0" r="0" b="6985"/>
            <wp:docPr id="23" name="Picture 23" descr="Diagram showing labour market summary by disability status: People aged 15–64 years, December 2020 quarter. Diagram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showing labour market summary by disability status: People aged 15–64 years, December 2020 quarter. Diagram described abov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8992" cy="4096198"/>
                    </a:xfrm>
                    <a:prstGeom prst="rect">
                      <a:avLst/>
                    </a:prstGeom>
                    <a:noFill/>
                    <a:ln>
                      <a:noFill/>
                    </a:ln>
                  </pic:spPr>
                </pic:pic>
              </a:graphicData>
            </a:graphic>
          </wp:inline>
        </w:drawing>
      </w:r>
    </w:p>
    <w:p w14:paraId="483C3D13" w14:textId="672486B2" w:rsidR="00622C16" w:rsidRDefault="00622C16" w:rsidP="00622C16">
      <w:pPr>
        <w:pStyle w:val="Caption"/>
        <w:spacing w:before="120" w:after="120" w:line="240" w:lineRule="atLeast"/>
        <w:rPr>
          <w:rFonts w:ascii="Arial" w:hAnsi="Arial" w:cs="Arial"/>
          <w:i w:val="0"/>
          <w:color w:val="auto"/>
          <w:szCs w:val="24"/>
        </w:rPr>
      </w:pPr>
      <w:r w:rsidRPr="00BA6F26">
        <w:rPr>
          <w:rFonts w:ascii="Arial" w:hAnsi="Arial" w:cs="Arial"/>
          <w:i w:val="0"/>
          <w:color w:val="auto"/>
          <w:szCs w:val="24"/>
        </w:rPr>
        <w:t>Source: Household Labour Force Survey</w:t>
      </w:r>
    </w:p>
    <w:p w14:paraId="7F50498E" w14:textId="77777777" w:rsidR="00622C16" w:rsidRPr="00622C16" w:rsidRDefault="00622C16" w:rsidP="00622C16"/>
    <w:p w14:paraId="7600BF59" w14:textId="77777777" w:rsidR="003B722B" w:rsidRDefault="00AD0E0F" w:rsidP="008F03DF">
      <w:pPr>
        <w:keepNext/>
        <w:spacing w:before="120" w:after="120" w:line="240" w:lineRule="atLeast"/>
        <w:jc w:val="center"/>
      </w:pPr>
      <w:r>
        <w:rPr>
          <w:noProof/>
          <w:lang w:eastAsia="en-NZ"/>
        </w:rPr>
        <w:drawing>
          <wp:inline distT="0" distB="0" distL="0" distR="0" wp14:anchorId="37532EB6" wp14:editId="7639184A">
            <wp:extent cx="5334000" cy="2971800"/>
            <wp:effectExtent l="0" t="0" r="0" b="0"/>
            <wp:docPr id="22" name="Chart 22" descr="Line graph: NEET rate by gender - seasonally adjusted: 2008 - 2021. The graph shows that overall, females have higher rates of NEET than males. The female NEET rate also sits higher than the total rate of NEET."/>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FFE7ABB" w14:textId="598523E3" w:rsidR="002B2A95" w:rsidRPr="00622C16" w:rsidRDefault="003B722B" w:rsidP="00622C16">
      <w:pPr>
        <w:pStyle w:val="Caption"/>
        <w:spacing w:before="120" w:after="120" w:line="240" w:lineRule="atLeast"/>
        <w:rPr>
          <w:rFonts w:ascii="Arial" w:hAnsi="Arial" w:cs="Arial"/>
          <w:i w:val="0"/>
          <w:szCs w:val="24"/>
        </w:rPr>
      </w:pPr>
      <w:r w:rsidRPr="00BA6F26">
        <w:rPr>
          <w:rFonts w:ascii="Arial" w:hAnsi="Arial" w:cs="Arial"/>
          <w:i w:val="0"/>
          <w:color w:val="auto"/>
          <w:szCs w:val="24"/>
        </w:rPr>
        <w:t>Source: Household Labour Force Survey</w:t>
      </w:r>
    </w:p>
    <w:p w14:paraId="30B712D4" w14:textId="77777777" w:rsidR="00C31CBA" w:rsidRPr="00B614E2" w:rsidRDefault="00C31CBA" w:rsidP="008F03DF">
      <w:pPr>
        <w:pStyle w:val="Heading2"/>
        <w:spacing w:before="120" w:after="120" w:line="240" w:lineRule="atLeast"/>
        <w:rPr>
          <w:rFonts w:ascii="Calibri Light" w:hAnsi="Calibri Light" w:cs="Calibri Light"/>
          <w:color w:val="365F91" w:themeColor="accent1" w:themeShade="BF"/>
        </w:rPr>
      </w:pPr>
      <w:r w:rsidRPr="00B614E2">
        <w:rPr>
          <w:rFonts w:ascii="Calibri Light" w:hAnsi="Calibri Light" w:cs="Calibri Light"/>
          <w:color w:val="365F91" w:themeColor="accent1" w:themeShade="BF"/>
        </w:rPr>
        <w:lastRenderedPageBreak/>
        <w:t>The impact of COVID-19 on the labour market and young people</w:t>
      </w:r>
    </w:p>
    <w:p w14:paraId="7A5A2003" w14:textId="77777777" w:rsidR="002B2A95" w:rsidRDefault="002B2A95"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AF6E4F">
        <w:rPr>
          <w:rFonts w:ascii="Arial" w:hAnsi="Arial" w:cs="Arial"/>
          <w:sz w:val="24"/>
          <w:szCs w:val="24"/>
        </w:rPr>
        <w:t>COVID-19 has had a signific</w:t>
      </w:r>
      <w:r>
        <w:rPr>
          <w:rFonts w:ascii="Arial" w:hAnsi="Arial" w:cs="Arial"/>
          <w:sz w:val="24"/>
          <w:szCs w:val="24"/>
        </w:rPr>
        <w:t xml:space="preserve">ant impact on the labour market. </w:t>
      </w:r>
      <w:r w:rsidRPr="002B2A95">
        <w:rPr>
          <w:rFonts w:ascii="Arial" w:hAnsi="Arial" w:cs="Arial"/>
          <w:sz w:val="24"/>
          <w:szCs w:val="24"/>
        </w:rPr>
        <w:t>New Zealand’s response to date has been to close the border to non-residents, greatly reducing the movement of people across the border. Industries most reliant on people movements were the most affected (food services/hospitality by lockdowns and tourism by border closures).</w:t>
      </w:r>
    </w:p>
    <w:p w14:paraId="6E8AFA7D" w14:textId="77777777" w:rsidR="002B2A95" w:rsidRDefault="002B2A95"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2B2A95">
        <w:rPr>
          <w:rFonts w:ascii="Arial" w:hAnsi="Arial" w:cs="Arial"/>
          <w:sz w:val="24"/>
          <w:szCs w:val="24"/>
        </w:rPr>
        <w:t xml:space="preserve">The rebound in labour demand has been </w:t>
      </w:r>
      <w:r w:rsidR="00B05305">
        <w:rPr>
          <w:rFonts w:ascii="Arial" w:hAnsi="Arial" w:cs="Arial"/>
          <w:sz w:val="24"/>
          <w:szCs w:val="24"/>
        </w:rPr>
        <w:t>faster than initially anticipated</w:t>
      </w:r>
      <w:r w:rsidRPr="002B2A95">
        <w:rPr>
          <w:rFonts w:ascii="Arial" w:hAnsi="Arial" w:cs="Arial"/>
          <w:sz w:val="24"/>
          <w:szCs w:val="24"/>
        </w:rPr>
        <w:t>. Unemployment went up in the September 2020 quarter but has dropped since then</w:t>
      </w:r>
      <w:r w:rsidR="00B05305">
        <w:rPr>
          <w:rFonts w:ascii="Arial" w:hAnsi="Arial" w:cs="Arial"/>
          <w:sz w:val="24"/>
          <w:szCs w:val="24"/>
        </w:rPr>
        <w:t>, although it remains higher than pre-COVID</w:t>
      </w:r>
      <w:r w:rsidRPr="002B2A95">
        <w:rPr>
          <w:rFonts w:ascii="Arial" w:hAnsi="Arial" w:cs="Arial"/>
          <w:sz w:val="24"/>
          <w:szCs w:val="24"/>
        </w:rPr>
        <w:t>. Employers who originally intended to reduce labour demand once the wage subsidy ended have become more optimistic about hiring.</w:t>
      </w:r>
    </w:p>
    <w:p w14:paraId="64B880B9" w14:textId="77777777" w:rsidR="00F2566A" w:rsidRPr="00F2566A" w:rsidRDefault="00F2566A"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F2566A">
        <w:rPr>
          <w:rFonts w:ascii="Arial" w:hAnsi="Arial" w:cs="Arial"/>
          <w:sz w:val="24"/>
          <w:szCs w:val="24"/>
        </w:rPr>
        <w:t xml:space="preserve">Young people continue to be </w:t>
      </w:r>
      <w:r w:rsidR="00734778">
        <w:rPr>
          <w:rFonts w:ascii="Arial" w:hAnsi="Arial" w:cs="Arial"/>
          <w:sz w:val="24"/>
          <w:szCs w:val="24"/>
        </w:rPr>
        <w:t xml:space="preserve">disproportionately </w:t>
      </w:r>
      <w:r w:rsidRPr="00F2566A">
        <w:rPr>
          <w:rFonts w:ascii="Arial" w:hAnsi="Arial" w:cs="Arial"/>
          <w:sz w:val="24"/>
          <w:szCs w:val="24"/>
        </w:rPr>
        <w:t>negatively affected by the recession and may be adapting to the challenges of COVID-19 by increasing their time in education and training (</w:t>
      </w:r>
      <w:proofErr w:type="gramStart"/>
      <w:r w:rsidRPr="00F2566A">
        <w:rPr>
          <w:rFonts w:ascii="Arial" w:hAnsi="Arial" w:cs="Arial"/>
          <w:sz w:val="24"/>
          <w:szCs w:val="24"/>
        </w:rPr>
        <w:t>similar to</w:t>
      </w:r>
      <w:proofErr w:type="gramEnd"/>
      <w:r w:rsidRPr="00F2566A">
        <w:rPr>
          <w:rFonts w:ascii="Arial" w:hAnsi="Arial" w:cs="Arial"/>
          <w:sz w:val="24"/>
          <w:szCs w:val="24"/>
        </w:rPr>
        <w:t xml:space="preserve"> what we have seen in past recessions). </w:t>
      </w:r>
    </w:p>
    <w:p w14:paraId="152F2807" w14:textId="77777777" w:rsidR="00F2566A" w:rsidRPr="00F2566A" w:rsidRDefault="00F2566A"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F2566A">
        <w:rPr>
          <w:rFonts w:ascii="Arial" w:hAnsi="Arial" w:cs="Arial"/>
          <w:sz w:val="24"/>
          <w:szCs w:val="24"/>
        </w:rPr>
        <w:t>Although the unemployment rates seem to have held up for those aged 15 to 24, both the employment and participation have decreased in March 2021 compared to last year (HLFS).</w:t>
      </w:r>
    </w:p>
    <w:p w14:paraId="4D1F60D2" w14:textId="3B3475D6" w:rsidR="00F2566A" w:rsidRPr="00F2566A" w:rsidRDefault="00F2566A"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F2566A">
        <w:rPr>
          <w:rFonts w:ascii="Arial" w:hAnsi="Arial" w:cs="Arial"/>
          <w:sz w:val="24"/>
          <w:szCs w:val="24"/>
        </w:rPr>
        <w:t>Lower participation in the labour market may reflect higher enrolments into study.</w:t>
      </w:r>
    </w:p>
    <w:p w14:paraId="47D22EAE" w14:textId="6699672F" w:rsidR="00F2566A" w:rsidRPr="00F2566A" w:rsidRDefault="00F2566A"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F2566A">
        <w:rPr>
          <w:rFonts w:ascii="Arial" w:hAnsi="Arial" w:cs="Arial"/>
          <w:sz w:val="24"/>
          <w:szCs w:val="24"/>
        </w:rPr>
        <w:t>We have seen more young people exiting main benefit into study over the last few months than usual. Exits from benefit into study were up by 71</w:t>
      </w:r>
      <w:r w:rsidR="00710711">
        <w:rPr>
          <w:rFonts w:ascii="Arial" w:hAnsi="Arial" w:cs="Arial"/>
          <w:sz w:val="24"/>
          <w:szCs w:val="24"/>
        </w:rPr>
        <w:t xml:space="preserve">% </w:t>
      </w:r>
      <w:r w:rsidRPr="00F2566A">
        <w:rPr>
          <w:rFonts w:ascii="Arial" w:hAnsi="Arial" w:cs="Arial"/>
          <w:sz w:val="24"/>
          <w:szCs w:val="24"/>
        </w:rPr>
        <w:t xml:space="preserve">for those aged 18 to 24 years in March 2021 compared to last year, which is </w:t>
      </w:r>
      <w:proofErr w:type="gramStart"/>
      <w:r w:rsidRPr="00F2566A">
        <w:rPr>
          <w:rFonts w:ascii="Arial" w:hAnsi="Arial" w:cs="Arial"/>
          <w:sz w:val="24"/>
          <w:szCs w:val="24"/>
        </w:rPr>
        <w:t>similar to</w:t>
      </w:r>
      <w:proofErr w:type="gramEnd"/>
      <w:r w:rsidRPr="00F2566A">
        <w:rPr>
          <w:rFonts w:ascii="Arial" w:hAnsi="Arial" w:cs="Arial"/>
          <w:sz w:val="24"/>
          <w:szCs w:val="24"/>
        </w:rPr>
        <w:t xml:space="preserve"> the trend during the Global Financial Crisis (GFC).</w:t>
      </w:r>
    </w:p>
    <w:p w14:paraId="6555B39B" w14:textId="30AECF61" w:rsidR="00F2566A" w:rsidRPr="00F2566A" w:rsidRDefault="00F2566A"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F2566A">
        <w:rPr>
          <w:rFonts w:ascii="Arial" w:hAnsi="Arial" w:cs="Arial"/>
          <w:sz w:val="24"/>
          <w:szCs w:val="24"/>
        </w:rPr>
        <w:t xml:space="preserve">The number of people who were NEET appears to have slightly increased in the March 2021 quarter, which is typical for this time of year. </w:t>
      </w:r>
    </w:p>
    <w:p w14:paraId="23D83ED1" w14:textId="77777777" w:rsidR="00F2566A" w:rsidRPr="00F2566A" w:rsidRDefault="00F2566A"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F2566A">
        <w:rPr>
          <w:rFonts w:ascii="Arial" w:hAnsi="Arial" w:cs="Arial"/>
          <w:sz w:val="24"/>
          <w:szCs w:val="24"/>
        </w:rPr>
        <w:t>Over the year, young people in education is up (by 20,000 to 329,000 people), while those who are not in education is down (by 27,000 to 320,000 people).</w:t>
      </w:r>
    </w:p>
    <w:p w14:paraId="10D3CFAB" w14:textId="72740218" w:rsidR="00810865" w:rsidRDefault="00D82DE7" w:rsidP="00622C16">
      <w:pPr>
        <w:pStyle w:val="ListBullet"/>
        <w:numPr>
          <w:ilvl w:val="0"/>
          <w:numId w:val="0"/>
        </w:numPr>
        <w:spacing w:before="120" w:after="120" w:line="240" w:lineRule="atLeast"/>
        <w:ind w:left="720"/>
        <w:contextualSpacing w:val="0"/>
        <w:rPr>
          <w:rFonts w:ascii="Arial" w:hAnsi="Arial" w:cs="Arial"/>
          <w:sz w:val="24"/>
          <w:szCs w:val="24"/>
        </w:rPr>
      </w:pPr>
      <w:r>
        <w:rPr>
          <w:noProof/>
          <w:lang w:eastAsia="en-NZ"/>
        </w:rPr>
        <w:lastRenderedPageBreak/>
        <w:drawing>
          <wp:inline distT="0" distB="0" distL="0" distR="0" wp14:anchorId="190E44E5" wp14:editId="768366B7">
            <wp:extent cx="5046058" cy="3327400"/>
            <wp:effectExtent l="0" t="0" r="2540" b="6350"/>
            <wp:docPr id="60" name="Picture 60" descr="bar graph: unemployment, underemployment and underutilisation by age group - March 2021 quarter. The 15 to 24 age group had the highest proportion of unemployed, underemployed and underuti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bar graph: unemployment, underemployment and underutilisation by age group - March 2021 quarter. The 15 to 24 age group had the highest proportion of unemployed, underemployed and underutilised."/>
                    <pic:cNvPicPr/>
                  </pic:nvPicPr>
                  <pic:blipFill>
                    <a:blip r:embed="rId30"/>
                    <a:stretch>
                      <a:fillRect/>
                    </a:stretch>
                  </pic:blipFill>
                  <pic:spPr>
                    <a:xfrm>
                      <a:off x="0" y="0"/>
                      <a:ext cx="5080182" cy="3349902"/>
                    </a:xfrm>
                    <a:prstGeom prst="rect">
                      <a:avLst/>
                    </a:prstGeom>
                  </pic:spPr>
                </pic:pic>
              </a:graphicData>
            </a:graphic>
          </wp:inline>
        </w:drawing>
      </w:r>
    </w:p>
    <w:p w14:paraId="28D293DC" w14:textId="77777777" w:rsidR="003B722B" w:rsidRDefault="00C31CBA" w:rsidP="008F03DF">
      <w:pPr>
        <w:pStyle w:val="ListBullet"/>
        <w:keepNext/>
        <w:numPr>
          <w:ilvl w:val="0"/>
          <w:numId w:val="0"/>
        </w:numPr>
        <w:spacing w:before="120" w:after="120" w:line="240" w:lineRule="atLeast"/>
        <w:ind w:left="360"/>
        <w:contextualSpacing w:val="0"/>
        <w:jc w:val="center"/>
      </w:pPr>
      <w:r w:rsidRPr="00AF6E4F">
        <w:rPr>
          <w:rFonts w:ascii="Arial" w:hAnsi="Arial" w:cs="Arial"/>
          <w:noProof/>
          <w:sz w:val="24"/>
          <w:szCs w:val="24"/>
          <w:lang w:eastAsia="en-NZ"/>
        </w:rPr>
        <w:drawing>
          <wp:inline distT="0" distB="0" distL="0" distR="0" wp14:anchorId="664E68E3" wp14:editId="691AAF5E">
            <wp:extent cx="5009322" cy="3061252"/>
            <wp:effectExtent l="0" t="0" r="1270" b="6350"/>
            <wp:docPr id="21" name="Chart 21" descr="Bar chart: underutilisation by age group - March 2021 quarter. The graph shows that 15 to 24 year olds have the highest numbers of available potential jobseekers and unavailable jobseekers out of all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17F365D" w14:textId="77777777" w:rsidR="00C31CBA" w:rsidRPr="00710711" w:rsidRDefault="003B722B" w:rsidP="008F03DF">
      <w:pPr>
        <w:pStyle w:val="Caption"/>
        <w:spacing w:before="120" w:after="120" w:line="240" w:lineRule="atLeast"/>
        <w:rPr>
          <w:rFonts w:ascii="Arial" w:hAnsi="Arial" w:cs="Arial"/>
          <w:sz w:val="24"/>
          <w:szCs w:val="24"/>
        </w:rPr>
      </w:pPr>
      <w:r w:rsidRPr="00710711">
        <w:rPr>
          <w:rFonts w:ascii="Arial" w:hAnsi="Arial" w:cs="Arial"/>
          <w:i w:val="0"/>
          <w:color w:val="auto"/>
        </w:rPr>
        <w:t>Source: Household Labour Force Survey</w:t>
      </w:r>
    </w:p>
    <w:p w14:paraId="3530A8FF" w14:textId="2CFDEE4E" w:rsidR="00C31CBA" w:rsidRPr="00AF6E4F" w:rsidRDefault="002B2A95" w:rsidP="008F03DF">
      <w:pPr>
        <w:pStyle w:val="ListParagraph"/>
        <w:keepNext/>
        <w:numPr>
          <w:ilvl w:val="0"/>
          <w:numId w:val="39"/>
        </w:numPr>
        <w:spacing w:before="120" w:after="120" w:line="240" w:lineRule="atLeast"/>
        <w:ind w:left="567" w:hanging="567"/>
        <w:contextualSpacing w:val="0"/>
        <w:rPr>
          <w:rFonts w:ascii="Arial" w:hAnsi="Arial" w:cs="Arial"/>
          <w:sz w:val="24"/>
          <w:szCs w:val="24"/>
        </w:rPr>
      </w:pPr>
      <w:r w:rsidRPr="002B2A95">
        <w:rPr>
          <w:rFonts w:ascii="Arial" w:hAnsi="Arial" w:cs="Arial"/>
          <w:sz w:val="24"/>
          <w:szCs w:val="24"/>
        </w:rPr>
        <w:t xml:space="preserve">The immediate future effects of COVID-19 on the labour market are very </w:t>
      </w:r>
      <w:proofErr w:type="gramStart"/>
      <w:r w:rsidRPr="00C01165">
        <w:rPr>
          <w:rFonts w:ascii="Arial" w:hAnsi="Arial" w:cs="Arial"/>
          <w:sz w:val="24"/>
          <w:szCs w:val="24"/>
        </w:rPr>
        <w:t>uncertain, and</w:t>
      </w:r>
      <w:proofErr w:type="gramEnd"/>
      <w:r w:rsidRPr="00C01165">
        <w:rPr>
          <w:rFonts w:ascii="Arial" w:hAnsi="Arial" w:cs="Arial"/>
          <w:sz w:val="24"/>
          <w:szCs w:val="24"/>
        </w:rPr>
        <w:t xml:space="preserve"> depend on a complex mix of factors</w:t>
      </w:r>
      <w:r w:rsidR="00F2566A" w:rsidRPr="00C01165">
        <w:rPr>
          <w:rFonts w:ascii="Arial" w:hAnsi="Arial" w:cs="Arial"/>
          <w:sz w:val="24"/>
          <w:szCs w:val="24"/>
        </w:rPr>
        <w:t xml:space="preserve"> and i</w:t>
      </w:r>
      <w:r w:rsidRPr="00C01165">
        <w:rPr>
          <w:rFonts w:ascii="Arial" w:hAnsi="Arial" w:cs="Arial"/>
          <w:sz w:val="24"/>
          <w:szCs w:val="24"/>
        </w:rPr>
        <w:t>mpacts are still emerging</w:t>
      </w:r>
      <w:r w:rsidR="00F2566A" w:rsidRPr="00C01165">
        <w:rPr>
          <w:rFonts w:ascii="Arial" w:hAnsi="Arial" w:cs="Arial"/>
          <w:sz w:val="24"/>
          <w:szCs w:val="24"/>
        </w:rPr>
        <w:t>.</w:t>
      </w:r>
    </w:p>
    <w:p w14:paraId="26D00F09" w14:textId="24ABF550" w:rsidR="002B2A95" w:rsidRPr="009D14F4" w:rsidRDefault="002B2A95" w:rsidP="008F03DF">
      <w:pPr>
        <w:pStyle w:val="ListParagraph"/>
        <w:keepNext/>
        <w:numPr>
          <w:ilvl w:val="0"/>
          <w:numId w:val="39"/>
        </w:numPr>
        <w:spacing w:before="120" w:after="120" w:line="240" w:lineRule="atLeast"/>
        <w:ind w:left="567" w:hanging="567"/>
        <w:contextualSpacing w:val="0"/>
        <w:rPr>
          <w:rFonts w:ascii="Arial" w:hAnsi="Arial" w:cs="Arial"/>
          <w:sz w:val="24"/>
          <w:szCs w:val="24"/>
        </w:rPr>
      </w:pPr>
      <w:r w:rsidRPr="002B2A95">
        <w:rPr>
          <w:rFonts w:ascii="Arial" w:hAnsi="Arial" w:cs="Arial"/>
          <w:sz w:val="24"/>
          <w:szCs w:val="24"/>
        </w:rPr>
        <w:t>Young people have seen employment loss from the economic effects of COVID-19, however participation in education has increased</w:t>
      </w:r>
      <w:r w:rsidR="00C01165">
        <w:rPr>
          <w:rFonts w:ascii="Arial" w:hAnsi="Arial" w:cs="Arial"/>
          <w:sz w:val="24"/>
          <w:szCs w:val="24"/>
        </w:rPr>
        <w:t xml:space="preserve"> (which is normal in weaker economic conditions)</w:t>
      </w:r>
      <w:r w:rsidRPr="002B2A95">
        <w:rPr>
          <w:rFonts w:ascii="Arial" w:hAnsi="Arial" w:cs="Arial"/>
          <w:sz w:val="24"/>
          <w:szCs w:val="24"/>
        </w:rPr>
        <w:t>. The national seasonally adjusted NEET rate has increased to 13.1</w:t>
      </w:r>
      <w:r w:rsidR="00710711">
        <w:rPr>
          <w:rFonts w:ascii="Arial" w:hAnsi="Arial" w:cs="Arial"/>
          <w:sz w:val="24"/>
          <w:szCs w:val="24"/>
        </w:rPr>
        <w:t xml:space="preserve">% </w:t>
      </w:r>
      <w:r w:rsidRPr="002B2A95">
        <w:rPr>
          <w:rFonts w:ascii="Arial" w:hAnsi="Arial" w:cs="Arial"/>
          <w:sz w:val="24"/>
          <w:szCs w:val="24"/>
        </w:rPr>
        <w:t xml:space="preserve">nationally, however there is significant volatility in this measure – the NEET rate in March 2019 was also at this level. There is </w:t>
      </w:r>
      <w:r w:rsidR="007A7727">
        <w:rPr>
          <w:rFonts w:ascii="Arial" w:hAnsi="Arial" w:cs="Arial"/>
          <w:sz w:val="24"/>
          <w:szCs w:val="24"/>
        </w:rPr>
        <w:t>some</w:t>
      </w:r>
      <w:r w:rsidRPr="002B2A95">
        <w:rPr>
          <w:rFonts w:ascii="Arial" w:hAnsi="Arial" w:cs="Arial"/>
          <w:sz w:val="24"/>
          <w:szCs w:val="24"/>
        </w:rPr>
        <w:t xml:space="preserve"> </w:t>
      </w:r>
      <w:r w:rsidRPr="002B2A95">
        <w:rPr>
          <w:rFonts w:ascii="Arial" w:hAnsi="Arial" w:cs="Arial"/>
          <w:sz w:val="24"/>
          <w:szCs w:val="24"/>
        </w:rPr>
        <w:lastRenderedPageBreak/>
        <w:t xml:space="preserve">variation </w:t>
      </w:r>
      <w:r w:rsidR="007A7727">
        <w:rPr>
          <w:rFonts w:ascii="Arial" w:hAnsi="Arial" w:cs="Arial"/>
          <w:sz w:val="24"/>
          <w:szCs w:val="24"/>
        </w:rPr>
        <w:t xml:space="preserve">in the NEET rate </w:t>
      </w:r>
      <w:r w:rsidRPr="002B2A95">
        <w:rPr>
          <w:rFonts w:ascii="Arial" w:hAnsi="Arial" w:cs="Arial"/>
          <w:sz w:val="24"/>
          <w:szCs w:val="24"/>
        </w:rPr>
        <w:t xml:space="preserve">across regions, </w:t>
      </w:r>
      <w:r w:rsidR="007A7727">
        <w:rPr>
          <w:rFonts w:ascii="Arial" w:hAnsi="Arial" w:cs="Arial"/>
          <w:sz w:val="24"/>
          <w:szCs w:val="24"/>
        </w:rPr>
        <w:t>but most of the differences are not statistically significant.</w:t>
      </w:r>
    </w:p>
    <w:p w14:paraId="16DDA24A" w14:textId="77777777" w:rsidR="00AC49E7" w:rsidRPr="00B614E2" w:rsidRDefault="00AC49E7" w:rsidP="002E762A">
      <w:pPr>
        <w:pStyle w:val="Heading2"/>
        <w:keepNext/>
        <w:spacing w:before="120" w:after="120" w:line="240" w:lineRule="atLeast"/>
        <w:rPr>
          <w:rFonts w:ascii="Calibri Light" w:hAnsi="Calibri Light" w:cs="Calibri Light"/>
          <w:color w:val="365F91" w:themeColor="accent1" w:themeShade="BF"/>
        </w:rPr>
      </w:pPr>
      <w:r w:rsidRPr="00B614E2">
        <w:rPr>
          <w:rFonts w:ascii="Calibri Light" w:hAnsi="Calibri Light" w:cs="Calibri Light"/>
          <w:color w:val="365F91" w:themeColor="accent1" w:themeShade="BF"/>
        </w:rPr>
        <w:t>Young people</w:t>
      </w:r>
      <w:r>
        <w:rPr>
          <w:rFonts w:ascii="Calibri Light" w:hAnsi="Calibri Light" w:cs="Calibri Light"/>
          <w:color w:val="365F91" w:themeColor="accent1" w:themeShade="BF"/>
        </w:rPr>
        <w:t>’</w:t>
      </w:r>
      <w:r w:rsidRPr="00B614E2">
        <w:rPr>
          <w:rFonts w:ascii="Calibri Light" w:hAnsi="Calibri Light" w:cs="Calibri Light"/>
          <w:color w:val="365F91" w:themeColor="accent1" w:themeShade="BF"/>
        </w:rPr>
        <w:t>s interactions with the social welfare system</w:t>
      </w:r>
    </w:p>
    <w:p w14:paraId="4FA7B870" w14:textId="7761CBD1" w:rsidR="00AC49E7" w:rsidRPr="00EA1589" w:rsidRDefault="00AC49E7" w:rsidP="008F03DF">
      <w:pPr>
        <w:pStyle w:val="ListParagraph"/>
        <w:keepNext/>
        <w:numPr>
          <w:ilvl w:val="0"/>
          <w:numId w:val="39"/>
        </w:numPr>
        <w:spacing w:before="120" w:after="120" w:line="240" w:lineRule="atLeast"/>
        <w:ind w:left="567" w:hanging="567"/>
        <w:contextualSpacing w:val="0"/>
        <w:rPr>
          <w:rFonts w:ascii="Arial" w:hAnsi="Arial" w:cs="Arial"/>
          <w:sz w:val="24"/>
          <w:szCs w:val="24"/>
        </w:rPr>
      </w:pPr>
      <w:bookmarkStart w:id="0" w:name="_Hlk75508481"/>
      <w:r w:rsidRPr="00EA1589">
        <w:rPr>
          <w:rFonts w:ascii="Arial" w:hAnsi="Arial"/>
          <w:sz w:val="24"/>
          <w:szCs w:val="24"/>
        </w:rPr>
        <w:t>Around 16</w:t>
      </w:r>
      <w:r w:rsidR="00710711">
        <w:rPr>
          <w:rFonts w:ascii="Arial" w:hAnsi="Arial"/>
          <w:sz w:val="24"/>
          <w:szCs w:val="24"/>
        </w:rPr>
        <w:t>%</w:t>
      </w:r>
      <w:r w:rsidRPr="00EA1589">
        <w:rPr>
          <w:rFonts w:ascii="Arial" w:hAnsi="Arial"/>
          <w:sz w:val="24"/>
          <w:szCs w:val="24"/>
        </w:rPr>
        <w:t xml:space="preserve"> of the </w:t>
      </w:r>
      <w:r w:rsidRPr="00EA1589">
        <w:rPr>
          <w:rFonts w:ascii="Arial" w:hAnsi="Arial"/>
          <w:sz w:val="24"/>
        </w:rPr>
        <w:t>18</w:t>
      </w:r>
      <w:r w:rsidRPr="00EA1589">
        <w:rPr>
          <w:rFonts w:ascii="Arial" w:hAnsi="Arial"/>
          <w:sz w:val="24"/>
          <w:szCs w:val="24"/>
        </w:rPr>
        <w:t>–24-year-old population was receiving a main benefit at the end of December 2020, which is higher than for the rest of the working-age population (12</w:t>
      </w:r>
      <w:r w:rsidR="00710711">
        <w:rPr>
          <w:rFonts w:ascii="Arial" w:hAnsi="Arial"/>
          <w:sz w:val="24"/>
          <w:szCs w:val="24"/>
        </w:rPr>
        <w:t>%</w:t>
      </w:r>
      <w:r w:rsidRPr="00EA1589">
        <w:rPr>
          <w:rFonts w:ascii="Arial" w:hAnsi="Arial"/>
          <w:sz w:val="24"/>
          <w:szCs w:val="24"/>
        </w:rPr>
        <w:t>). 18–</w:t>
      </w:r>
      <w:r w:rsidRPr="00EA1589">
        <w:rPr>
          <w:rFonts w:ascii="Arial" w:hAnsi="Arial"/>
          <w:sz w:val="24"/>
        </w:rPr>
        <w:t xml:space="preserve">24-year olds make up </w:t>
      </w:r>
      <w:r w:rsidRPr="00EA1589">
        <w:rPr>
          <w:rFonts w:ascii="Arial" w:hAnsi="Arial"/>
          <w:sz w:val="24"/>
          <w:szCs w:val="24"/>
        </w:rPr>
        <w:t>18</w:t>
      </w:r>
      <w:r w:rsidR="00710711">
        <w:rPr>
          <w:rFonts w:ascii="Arial" w:hAnsi="Arial"/>
          <w:sz w:val="24"/>
        </w:rPr>
        <w:t xml:space="preserve">% </w:t>
      </w:r>
      <w:r w:rsidRPr="00EA1589">
        <w:rPr>
          <w:rFonts w:ascii="Arial" w:hAnsi="Arial"/>
          <w:sz w:val="24"/>
        </w:rPr>
        <w:t>of all main benefit recipients. Through 2020</w:t>
      </w:r>
      <w:r w:rsidRPr="00EA1589">
        <w:rPr>
          <w:rFonts w:ascii="Arial" w:hAnsi="Arial"/>
          <w:sz w:val="24"/>
          <w:szCs w:val="24"/>
        </w:rPr>
        <w:t>, their</w:t>
      </w:r>
      <w:r w:rsidRPr="00EA1589">
        <w:rPr>
          <w:rFonts w:ascii="Arial" w:hAnsi="Arial"/>
          <w:sz w:val="24"/>
        </w:rPr>
        <w:t xml:space="preserve"> number increased, driven by the economic disruption caused by COVID-19. </w:t>
      </w:r>
      <w:r w:rsidRPr="00EA1589">
        <w:rPr>
          <w:rFonts w:ascii="Arial" w:hAnsi="Arial"/>
          <w:sz w:val="24"/>
          <w:szCs w:val="24"/>
        </w:rPr>
        <w:t>However, this younger cohort</w:t>
      </w:r>
      <w:r w:rsidRPr="00EA1589">
        <w:rPr>
          <w:rFonts w:ascii="Arial" w:hAnsi="Arial"/>
          <w:sz w:val="24"/>
        </w:rPr>
        <w:t xml:space="preserve"> has</w:t>
      </w:r>
      <w:r w:rsidRPr="00EA1589">
        <w:rPr>
          <w:rFonts w:ascii="Arial" w:hAnsi="Arial"/>
          <w:sz w:val="24"/>
          <w:szCs w:val="24"/>
        </w:rPr>
        <w:t xml:space="preserve"> since decreased from 74,000</w:t>
      </w:r>
      <w:r w:rsidRPr="00EA1589">
        <w:rPr>
          <w:rFonts w:ascii="Arial" w:hAnsi="Arial"/>
          <w:sz w:val="24"/>
        </w:rPr>
        <w:t xml:space="preserve"> in </w:t>
      </w:r>
      <w:r w:rsidRPr="00EA1589">
        <w:rPr>
          <w:rFonts w:ascii="Arial" w:hAnsi="Arial"/>
          <w:sz w:val="24"/>
          <w:szCs w:val="24"/>
        </w:rPr>
        <w:t>December 2020, to 59,000 in May 2021.</w:t>
      </w:r>
    </w:p>
    <w:p w14:paraId="705B8C6F" w14:textId="3568250A" w:rsidR="00AC49E7" w:rsidRPr="00EA1589" w:rsidRDefault="00AC49E7" w:rsidP="008F03DF">
      <w:pPr>
        <w:pStyle w:val="ListParagraph"/>
        <w:keepNext/>
        <w:numPr>
          <w:ilvl w:val="0"/>
          <w:numId w:val="39"/>
        </w:numPr>
        <w:spacing w:before="120" w:after="120" w:line="240" w:lineRule="atLeast"/>
        <w:ind w:left="567" w:hanging="567"/>
        <w:contextualSpacing w:val="0"/>
        <w:rPr>
          <w:rFonts w:ascii="Arial" w:hAnsi="Arial"/>
          <w:sz w:val="24"/>
        </w:rPr>
      </w:pPr>
      <w:r w:rsidRPr="00747BB3">
        <w:rPr>
          <w:rFonts w:ascii="Arial" w:hAnsi="Arial" w:cs="Arial"/>
          <w:sz w:val="24"/>
          <w:szCs w:val="24"/>
        </w:rPr>
        <w:t>The majority (71</w:t>
      </w:r>
      <w:r w:rsidR="00710711">
        <w:rPr>
          <w:rFonts w:ascii="Arial" w:hAnsi="Arial" w:cs="Arial"/>
          <w:sz w:val="24"/>
          <w:szCs w:val="24"/>
        </w:rPr>
        <w:t>%</w:t>
      </w:r>
      <w:r w:rsidRPr="00747BB3">
        <w:rPr>
          <w:rFonts w:ascii="Arial" w:hAnsi="Arial" w:cs="Arial"/>
          <w:sz w:val="24"/>
          <w:szCs w:val="24"/>
        </w:rPr>
        <w:t xml:space="preserve">) of youth on a main </w:t>
      </w:r>
      <w:r w:rsidRPr="00EA1589">
        <w:rPr>
          <w:rFonts w:ascii="Arial" w:hAnsi="Arial"/>
          <w:sz w:val="24"/>
        </w:rPr>
        <w:t xml:space="preserve">benefit </w:t>
      </w:r>
      <w:r w:rsidRPr="00747BB3">
        <w:rPr>
          <w:rFonts w:ascii="Arial" w:hAnsi="Arial" w:cs="Arial"/>
          <w:sz w:val="24"/>
          <w:szCs w:val="24"/>
        </w:rPr>
        <w:t>receive</w:t>
      </w:r>
      <w:r w:rsidRPr="00EA1589">
        <w:rPr>
          <w:rFonts w:ascii="Arial" w:hAnsi="Arial"/>
          <w:sz w:val="24"/>
        </w:rPr>
        <w:t xml:space="preserve"> Jobseeker Support (JS</w:t>
      </w:r>
      <w:r w:rsidRPr="00747BB3">
        <w:rPr>
          <w:rFonts w:ascii="Arial" w:hAnsi="Arial" w:cs="Arial"/>
          <w:sz w:val="24"/>
          <w:szCs w:val="24"/>
        </w:rPr>
        <w:t>).</w:t>
      </w:r>
      <w:r w:rsidRPr="00EA1589">
        <w:rPr>
          <w:rFonts w:ascii="Arial" w:hAnsi="Arial"/>
          <w:sz w:val="24"/>
        </w:rPr>
        <w:t xml:space="preserve"> Representation of youth on this benefit </w:t>
      </w:r>
      <w:r>
        <w:rPr>
          <w:rFonts w:ascii="Arial" w:hAnsi="Arial" w:cs="Arial"/>
          <w:sz w:val="24"/>
          <w:szCs w:val="24"/>
        </w:rPr>
        <w:t>has</w:t>
      </w:r>
      <w:r w:rsidRPr="00EA1589">
        <w:rPr>
          <w:rFonts w:ascii="Arial" w:hAnsi="Arial"/>
          <w:sz w:val="24"/>
        </w:rPr>
        <w:t xml:space="preserve"> followed a similar pattern to overall main benefit receipt</w:t>
      </w:r>
      <w:r w:rsidRPr="00747BB3">
        <w:rPr>
          <w:rFonts w:ascii="Arial" w:hAnsi="Arial" w:cs="Arial"/>
          <w:sz w:val="24"/>
          <w:szCs w:val="24"/>
        </w:rPr>
        <w:t>, due to</w:t>
      </w:r>
      <w:r w:rsidRPr="00EA1589">
        <w:rPr>
          <w:rFonts w:ascii="Arial" w:hAnsi="Arial"/>
          <w:sz w:val="24"/>
        </w:rPr>
        <w:t xml:space="preserve"> Jobseeker Support </w:t>
      </w:r>
      <w:r w:rsidRPr="00747BB3">
        <w:rPr>
          <w:rFonts w:ascii="Arial" w:hAnsi="Arial" w:cs="Arial"/>
          <w:sz w:val="24"/>
          <w:szCs w:val="24"/>
        </w:rPr>
        <w:t>representing</w:t>
      </w:r>
      <w:r w:rsidRPr="00EA1589">
        <w:rPr>
          <w:rFonts w:ascii="Arial" w:hAnsi="Arial"/>
          <w:sz w:val="24"/>
        </w:rPr>
        <w:t xml:space="preserve"> the largest proportion of overall main benefit take-up</w:t>
      </w:r>
      <w:r w:rsidRPr="00747BB3">
        <w:rPr>
          <w:rFonts w:ascii="Arial" w:hAnsi="Arial" w:cs="Arial"/>
          <w:sz w:val="24"/>
          <w:szCs w:val="24"/>
        </w:rPr>
        <w:t>.</w:t>
      </w:r>
    </w:p>
    <w:p w14:paraId="03275FCF" w14:textId="77777777" w:rsidR="00AC49E7" w:rsidRDefault="00AC49E7" w:rsidP="008F03DF">
      <w:pPr>
        <w:pStyle w:val="ListParagraph"/>
        <w:widowControl w:val="0"/>
        <w:numPr>
          <w:ilvl w:val="0"/>
          <w:numId w:val="39"/>
        </w:numPr>
        <w:spacing w:before="120" w:after="120" w:line="240" w:lineRule="atLeast"/>
        <w:ind w:left="567" w:hanging="567"/>
        <w:contextualSpacing w:val="0"/>
        <w:rPr>
          <w:rFonts w:ascii="Arial" w:hAnsi="Arial" w:cs="Arial"/>
          <w:sz w:val="24"/>
          <w:szCs w:val="24"/>
        </w:rPr>
      </w:pPr>
      <w:r w:rsidRPr="00747BB3">
        <w:rPr>
          <w:rFonts w:ascii="Arial" w:hAnsi="Arial" w:cs="Arial"/>
          <w:sz w:val="24"/>
          <w:szCs w:val="24"/>
        </w:rPr>
        <w:t xml:space="preserve">Most of the growth in those receiving Jobseeker Support comes from 20–-24- year olds. This group was the quickest to enter benefit </w:t>
      </w:r>
      <w:proofErr w:type="gramStart"/>
      <w:r w:rsidRPr="00747BB3">
        <w:rPr>
          <w:rFonts w:ascii="Arial" w:hAnsi="Arial" w:cs="Arial"/>
          <w:sz w:val="24"/>
          <w:szCs w:val="24"/>
        </w:rPr>
        <w:t>due to the effects</w:t>
      </w:r>
      <w:proofErr w:type="gramEnd"/>
      <w:r w:rsidRPr="00747BB3">
        <w:rPr>
          <w:rFonts w:ascii="Arial" w:hAnsi="Arial" w:cs="Arial"/>
          <w:sz w:val="24"/>
          <w:szCs w:val="24"/>
        </w:rPr>
        <w:t xml:space="preserve"> of COVID-19 but has also been </w:t>
      </w:r>
      <w:r>
        <w:rPr>
          <w:rFonts w:ascii="Arial" w:hAnsi="Arial" w:cs="Arial"/>
          <w:sz w:val="24"/>
          <w:szCs w:val="24"/>
        </w:rPr>
        <w:t xml:space="preserve">the group to leave benefit fastest. </w:t>
      </w:r>
    </w:p>
    <w:bookmarkEnd w:id="0"/>
    <w:p w14:paraId="61E3E825" w14:textId="52943CC0" w:rsidR="002337DE" w:rsidRDefault="002E7030" w:rsidP="00BA6F26">
      <w:pPr>
        <w:keepNext/>
        <w:spacing w:before="120" w:after="120" w:line="240" w:lineRule="atLeast"/>
        <w:jc w:val="center"/>
      </w:pPr>
      <w:r>
        <w:rPr>
          <w:noProof/>
          <w:lang w:eastAsia="en-NZ"/>
        </w:rPr>
        <w:drawing>
          <wp:inline distT="0" distB="0" distL="0" distR="0" wp14:anchorId="7EFB53A8" wp14:editId="279A168A">
            <wp:extent cx="5731510" cy="2999105"/>
            <wp:effectExtent l="0" t="0" r="2540" b="10795"/>
            <wp:docPr id="41" name="Chart 41" descr="Line graph of 18 to 24 year olds receipt of main benefits (total) and Jobseeker Support (total) from March 16 to March 2021. Around 16% of the 18–24-year-old population was receiving a main benefit at the end of December 2020, which is higher than for the rest of the working-age population. Their number increased through 2020, but did start to fall again since the start of 2021.">
              <a:extLst xmlns:a="http://schemas.openxmlformats.org/drawingml/2006/main">
                <a:ext uri="{FF2B5EF4-FFF2-40B4-BE49-F238E27FC236}">
                  <a16:creationId xmlns:a16="http://schemas.microsoft.com/office/drawing/2014/main" id="{38933CA5-2304-4ED5-A3AE-221D8C5E1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F4DC541" w14:textId="77777777" w:rsidR="002E7030" w:rsidRPr="00710711" w:rsidRDefault="002337DE" w:rsidP="008F03DF">
      <w:pPr>
        <w:pStyle w:val="Caption"/>
        <w:spacing w:before="120" w:after="120" w:line="240" w:lineRule="atLeast"/>
        <w:rPr>
          <w:rFonts w:ascii="Arial" w:hAnsi="Arial" w:cs="Arial"/>
          <w:sz w:val="24"/>
          <w:szCs w:val="24"/>
        </w:rPr>
      </w:pPr>
      <w:r w:rsidRPr="00710711">
        <w:rPr>
          <w:rFonts w:ascii="Arial" w:hAnsi="Arial" w:cs="Arial"/>
          <w:i w:val="0"/>
          <w:color w:val="auto"/>
        </w:rPr>
        <w:t>Source: Ministry of Social Development</w:t>
      </w:r>
    </w:p>
    <w:p w14:paraId="65954B71" w14:textId="77777777" w:rsidR="00AC49E7" w:rsidRPr="00EA1589" w:rsidRDefault="00AC49E7" w:rsidP="008F03DF">
      <w:pPr>
        <w:pStyle w:val="ListParagraph"/>
        <w:keepNext/>
        <w:numPr>
          <w:ilvl w:val="0"/>
          <w:numId w:val="39"/>
        </w:numPr>
        <w:spacing w:before="120" w:after="120" w:line="240" w:lineRule="atLeast"/>
        <w:ind w:left="567" w:hanging="567"/>
        <w:contextualSpacing w:val="0"/>
        <w:rPr>
          <w:rFonts w:ascii="Arial" w:hAnsi="Arial"/>
          <w:sz w:val="24"/>
        </w:rPr>
      </w:pPr>
      <w:r>
        <w:rPr>
          <w:rFonts w:ascii="Arial" w:hAnsi="Arial" w:cs="Arial"/>
          <w:sz w:val="24"/>
          <w:szCs w:val="24"/>
        </w:rPr>
        <w:t>Unlike other benefits (like JS), th</w:t>
      </w:r>
      <w:r w:rsidRPr="00235B12">
        <w:rPr>
          <w:rFonts w:ascii="Arial" w:hAnsi="Arial" w:cs="Arial"/>
          <w:sz w:val="24"/>
          <w:szCs w:val="24"/>
        </w:rPr>
        <w:t>e number of people receiving</w:t>
      </w:r>
      <w:r w:rsidRPr="00EA1589">
        <w:rPr>
          <w:rFonts w:ascii="Arial" w:hAnsi="Arial"/>
          <w:sz w:val="24"/>
        </w:rPr>
        <w:t xml:space="preserve"> Supported Living Payment (SLP) </w:t>
      </w:r>
      <w:r w:rsidRPr="00235B12">
        <w:rPr>
          <w:rFonts w:ascii="Arial" w:hAnsi="Arial" w:cs="Arial"/>
          <w:sz w:val="24"/>
          <w:szCs w:val="24"/>
        </w:rPr>
        <w:t>changes slowly over tim</w:t>
      </w:r>
      <w:r>
        <w:rPr>
          <w:rFonts w:ascii="Arial" w:hAnsi="Arial" w:cs="Arial"/>
          <w:sz w:val="24"/>
          <w:szCs w:val="24"/>
        </w:rPr>
        <w:t xml:space="preserve">e, as </w:t>
      </w:r>
      <w:r w:rsidRPr="00235B12">
        <w:rPr>
          <w:rFonts w:ascii="Arial" w:hAnsi="Arial" w:cs="Arial"/>
          <w:sz w:val="24"/>
          <w:szCs w:val="24"/>
        </w:rPr>
        <w:t>people must have</w:t>
      </w:r>
      <w:r>
        <w:rPr>
          <w:rFonts w:ascii="Arial" w:hAnsi="Arial" w:cs="Arial"/>
          <w:sz w:val="24"/>
          <w:szCs w:val="24"/>
        </w:rPr>
        <w:t xml:space="preserve"> a</w:t>
      </w:r>
      <w:r w:rsidRPr="00235B12">
        <w:rPr>
          <w:rFonts w:ascii="Arial" w:hAnsi="Arial" w:cs="Arial"/>
          <w:sz w:val="24"/>
          <w:szCs w:val="24"/>
        </w:rPr>
        <w:t xml:space="preserve"> long-term health condition or disabilit</w:t>
      </w:r>
      <w:r>
        <w:rPr>
          <w:rFonts w:ascii="Arial" w:hAnsi="Arial" w:cs="Arial"/>
          <w:sz w:val="24"/>
          <w:szCs w:val="24"/>
        </w:rPr>
        <w:t>y</w:t>
      </w:r>
      <w:r w:rsidRPr="00235B12">
        <w:rPr>
          <w:rFonts w:ascii="Arial" w:hAnsi="Arial" w:cs="Arial"/>
          <w:sz w:val="24"/>
          <w:szCs w:val="24"/>
        </w:rPr>
        <w:t xml:space="preserve"> to be eligible</w:t>
      </w:r>
      <w:r>
        <w:rPr>
          <w:rFonts w:ascii="Arial" w:hAnsi="Arial" w:cs="Arial"/>
          <w:sz w:val="24"/>
          <w:szCs w:val="24"/>
        </w:rPr>
        <w:t xml:space="preserve"> for SLP</w:t>
      </w:r>
      <w:r w:rsidRPr="00EA1589">
        <w:rPr>
          <w:rFonts w:ascii="Arial" w:hAnsi="Arial"/>
          <w:sz w:val="24"/>
        </w:rPr>
        <w:t>.</w:t>
      </w:r>
    </w:p>
    <w:p w14:paraId="245FF9D7" w14:textId="0A6D5DD2" w:rsidR="00622C16" w:rsidRPr="00622C16" w:rsidRDefault="00AC49E7" w:rsidP="00622C16">
      <w:pPr>
        <w:pStyle w:val="ListParagraph"/>
        <w:numPr>
          <w:ilvl w:val="0"/>
          <w:numId w:val="39"/>
        </w:numPr>
        <w:spacing w:before="120" w:after="120" w:line="240" w:lineRule="atLeast"/>
        <w:ind w:left="567" w:hanging="567"/>
        <w:contextualSpacing w:val="0"/>
        <w:rPr>
          <w:rFonts w:ascii="Arial" w:hAnsi="Arial"/>
          <w:sz w:val="24"/>
        </w:rPr>
      </w:pPr>
      <w:r w:rsidRPr="00E23D6B">
        <w:rPr>
          <w:rFonts w:ascii="Arial" w:hAnsi="Arial" w:cs="Arial"/>
          <w:sz w:val="24"/>
          <w:szCs w:val="24"/>
        </w:rPr>
        <w:t xml:space="preserve">Receipt </w:t>
      </w:r>
      <w:r w:rsidRPr="00EA1589">
        <w:rPr>
          <w:rFonts w:ascii="Arial" w:hAnsi="Arial"/>
          <w:sz w:val="24"/>
        </w:rPr>
        <w:t xml:space="preserve">of Sole Parent Support (SPS) has </w:t>
      </w:r>
      <w:r w:rsidRPr="00E23D6B">
        <w:rPr>
          <w:rFonts w:ascii="Arial" w:hAnsi="Arial" w:cs="Arial"/>
          <w:sz w:val="24"/>
          <w:szCs w:val="24"/>
        </w:rPr>
        <w:t xml:space="preserve">been decreasing </w:t>
      </w:r>
      <w:r w:rsidRPr="00EA1589">
        <w:rPr>
          <w:rFonts w:ascii="Arial" w:hAnsi="Arial"/>
          <w:sz w:val="24"/>
        </w:rPr>
        <w:t>over the last five years</w:t>
      </w:r>
      <w:r w:rsidRPr="00E23D6B">
        <w:rPr>
          <w:rFonts w:ascii="Arial" w:hAnsi="Arial" w:cs="Arial"/>
          <w:sz w:val="24"/>
          <w:szCs w:val="24"/>
        </w:rPr>
        <w:t xml:space="preserve">. This is partly driven by the operational changes made in October 2016 when the youth services program was extended to </w:t>
      </w:r>
      <w:proofErr w:type="gramStart"/>
      <w:r w:rsidRPr="00E23D6B">
        <w:rPr>
          <w:rFonts w:ascii="Arial" w:hAnsi="Arial" w:cs="Arial"/>
          <w:sz w:val="24"/>
          <w:szCs w:val="24"/>
        </w:rPr>
        <w:t>18-19 year</w:t>
      </w:r>
      <w:proofErr w:type="gramEnd"/>
      <w:r w:rsidRPr="00E23D6B">
        <w:rPr>
          <w:rFonts w:ascii="Arial" w:hAnsi="Arial" w:cs="Arial"/>
          <w:sz w:val="24"/>
          <w:szCs w:val="24"/>
        </w:rPr>
        <w:t xml:space="preserve"> olds, and young parents </w:t>
      </w:r>
      <w:r>
        <w:rPr>
          <w:rFonts w:ascii="Arial" w:hAnsi="Arial" w:cs="Arial"/>
          <w:sz w:val="24"/>
          <w:szCs w:val="24"/>
        </w:rPr>
        <w:t>were no longer eligible for SPS</w:t>
      </w:r>
      <w:r w:rsidRPr="00E23D6B">
        <w:rPr>
          <w:rFonts w:ascii="Arial" w:hAnsi="Arial" w:cs="Arial"/>
          <w:sz w:val="24"/>
          <w:szCs w:val="24"/>
        </w:rPr>
        <w:t>. There has been, however,</w:t>
      </w:r>
      <w:r w:rsidRPr="00EA1589">
        <w:rPr>
          <w:rFonts w:ascii="Arial" w:hAnsi="Arial"/>
          <w:sz w:val="24"/>
        </w:rPr>
        <w:t xml:space="preserve"> a small increase in uptake among this cohort since COVID-19.</w:t>
      </w:r>
      <w:r>
        <w:rPr>
          <w:rFonts w:ascii="Arial" w:hAnsi="Arial" w:cs="Arial"/>
          <w:sz w:val="24"/>
          <w:szCs w:val="24"/>
        </w:rPr>
        <w:t xml:space="preserve"> </w:t>
      </w:r>
    </w:p>
    <w:p w14:paraId="53D3DEA2" w14:textId="77777777" w:rsidR="00AC49E7" w:rsidRPr="00EA1589" w:rsidRDefault="00AC49E7" w:rsidP="00622C16">
      <w:pPr>
        <w:pStyle w:val="ListParagraph"/>
        <w:keepNext/>
        <w:keepLines/>
        <w:numPr>
          <w:ilvl w:val="0"/>
          <w:numId w:val="39"/>
        </w:numPr>
        <w:spacing w:before="120" w:after="120" w:line="240" w:lineRule="atLeast"/>
        <w:ind w:left="567" w:hanging="567"/>
        <w:contextualSpacing w:val="0"/>
        <w:rPr>
          <w:rFonts w:ascii="Arial" w:hAnsi="Arial"/>
          <w:sz w:val="24"/>
        </w:rPr>
      </w:pPr>
      <w:r>
        <w:rPr>
          <w:rFonts w:ascii="Arial" w:hAnsi="Arial"/>
          <w:sz w:val="24"/>
        </w:rPr>
        <w:lastRenderedPageBreak/>
        <w:t xml:space="preserve">Receipt of </w:t>
      </w:r>
      <w:r w:rsidRPr="00EA1589">
        <w:rPr>
          <w:rFonts w:ascii="Arial" w:hAnsi="Arial"/>
          <w:sz w:val="24"/>
        </w:rPr>
        <w:t xml:space="preserve">the Youth Payment (16 – 17 years) and Young Parent Payment (16 – 19 years) </w:t>
      </w:r>
      <w:r>
        <w:rPr>
          <w:rFonts w:ascii="Arial" w:hAnsi="Arial"/>
          <w:sz w:val="24"/>
        </w:rPr>
        <w:t>during</w:t>
      </w:r>
      <w:r w:rsidRPr="00EA1589">
        <w:rPr>
          <w:rFonts w:ascii="Arial" w:hAnsi="Arial"/>
          <w:sz w:val="24"/>
        </w:rPr>
        <w:t xml:space="preserve"> 2020</w:t>
      </w:r>
      <w:r>
        <w:rPr>
          <w:rFonts w:ascii="Arial" w:hAnsi="Arial"/>
          <w:sz w:val="24"/>
        </w:rPr>
        <w:t xml:space="preserve"> peaked in September</w:t>
      </w:r>
      <w:r w:rsidRPr="00EA1589">
        <w:rPr>
          <w:rFonts w:ascii="Arial" w:hAnsi="Arial"/>
          <w:sz w:val="24"/>
        </w:rPr>
        <w:t xml:space="preserve">. However, </w:t>
      </w:r>
      <w:r>
        <w:rPr>
          <w:rFonts w:ascii="Arial" w:hAnsi="Arial"/>
          <w:sz w:val="24"/>
        </w:rPr>
        <w:t>receipt was</w:t>
      </w:r>
      <w:r w:rsidRPr="00EA1589">
        <w:rPr>
          <w:rFonts w:ascii="Arial" w:hAnsi="Arial"/>
          <w:sz w:val="24"/>
        </w:rPr>
        <w:t xml:space="preserve"> still lower than that seen in the </w:t>
      </w:r>
      <w:r>
        <w:rPr>
          <w:rFonts w:ascii="Arial" w:hAnsi="Arial"/>
          <w:sz w:val="24"/>
        </w:rPr>
        <w:t>second half of 2017</w:t>
      </w:r>
      <w:r w:rsidRPr="00EA1589">
        <w:rPr>
          <w:rFonts w:ascii="Arial" w:hAnsi="Arial"/>
          <w:sz w:val="24"/>
        </w:rPr>
        <w:t>.</w:t>
      </w:r>
      <w:r>
        <w:rPr>
          <w:rFonts w:ascii="Arial" w:hAnsi="Arial" w:cs="Arial"/>
          <w:sz w:val="24"/>
          <w:szCs w:val="24"/>
        </w:rPr>
        <w:t xml:space="preserve"> </w:t>
      </w:r>
      <w:r w:rsidRPr="00235B12">
        <w:rPr>
          <w:rFonts w:ascii="Arial" w:hAnsi="Arial" w:cs="Arial"/>
          <w:sz w:val="24"/>
          <w:szCs w:val="24"/>
        </w:rPr>
        <w:t>The number of recipients has been decreasing slowly over time.</w:t>
      </w:r>
    </w:p>
    <w:p w14:paraId="6BDCB69D" w14:textId="77777777" w:rsidR="002B2A95" w:rsidRDefault="002B2A95" w:rsidP="00BA6F26">
      <w:pPr>
        <w:spacing w:before="120" w:after="120" w:line="240" w:lineRule="atLeast"/>
        <w:jc w:val="center"/>
        <w:rPr>
          <w:noProof/>
        </w:rPr>
      </w:pPr>
      <w:r>
        <w:rPr>
          <w:noProof/>
          <w:lang w:eastAsia="en-NZ"/>
        </w:rPr>
        <w:drawing>
          <wp:inline distT="0" distB="0" distL="0" distR="0" wp14:anchorId="4C82D2E5" wp14:editId="51E1788D">
            <wp:extent cx="5731510" cy="3075305"/>
            <wp:effectExtent l="0" t="0" r="2540" b="10795"/>
            <wp:docPr id="43" name="Chart 43" descr="Line graph of 18 to 24 year olds receipt of Sole Parent Support, Supported Living Payment and Youth Payment and Young Parent Payment from March 2016 to March 2021. Trends described above.">
              <a:extLst xmlns:a="http://schemas.openxmlformats.org/drawingml/2006/main">
                <a:ext uri="{FF2B5EF4-FFF2-40B4-BE49-F238E27FC236}">
                  <a16:creationId xmlns:a16="http://schemas.microsoft.com/office/drawing/2014/main" id="{F5747088-51CC-45A8-848E-DBBDFE0C20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F27F141" w14:textId="7022D5FD" w:rsidR="00B614E2" w:rsidRPr="002B2A95" w:rsidRDefault="002337DE" w:rsidP="008F03DF">
      <w:pPr>
        <w:pStyle w:val="Caption"/>
        <w:spacing w:before="120" w:after="120" w:line="240" w:lineRule="atLeast"/>
      </w:pPr>
      <w:r w:rsidRPr="00E423CF">
        <w:rPr>
          <w:rFonts w:ascii="Arial" w:hAnsi="Arial" w:cs="Arial"/>
          <w:i w:val="0"/>
          <w:color w:val="auto"/>
        </w:rPr>
        <w:t>Source: Ministry of Social Development</w:t>
      </w:r>
    </w:p>
    <w:p w14:paraId="4A5F1B63" w14:textId="77777777" w:rsidR="00FB779B" w:rsidRPr="00B614E2" w:rsidRDefault="00FB779B" w:rsidP="008F03DF">
      <w:pPr>
        <w:pStyle w:val="Heading2"/>
        <w:spacing w:before="120" w:after="120" w:line="240" w:lineRule="atLeast"/>
        <w:rPr>
          <w:rFonts w:ascii="Calibri Light" w:hAnsi="Calibri Light" w:cs="Calibri Light"/>
          <w:color w:val="365F91" w:themeColor="accent1" w:themeShade="BF"/>
        </w:rPr>
      </w:pPr>
      <w:r w:rsidRPr="00B614E2">
        <w:rPr>
          <w:rFonts w:ascii="Calibri Light" w:hAnsi="Calibri Light" w:cs="Calibri Light"/>
          <w:color w:val="365F91" w:themeColor="accent1" w:themeShade="BF"/>
        </w:rPr>
        <w:t>Information on the effectiveness of interventions for young people</w:t>
      </w:r>
    </w:p>
    <w:p w14:paraId="3DAA7776" w14:textId="77777777" w:rsidR="00FB779B" w:rsidRPr="00AF6E4F" w:rsidRDefault="00FB779B" w:rsidP="008F03DF">
      <w:pPr>
        <w:pStyle w:val="ListParagraph"/>
        <w:numPr>
          <w:ilvl w:val="0"/>
          <w:numId w:val="39"/>
        </w:numPr>
        <w:spacing w:before="120" w:after="120" w:line="240" w:lineRule="atLeast"/>
        <w:ind w:left="567" w:hanging="567"/>
        <w:contextualSpacing w:val="0"/>
        <w:rPr>
          <w:rFonts w:ascii="Arial" w:hAnsi="Arial" w:cs="Arial"/>
          <w:sz w:val="24"/>
          <w:szCs w:val="24"/>
        </w:rPr>
      </w:pPr>
      <w:r w:rsidRPr="00AF6E4F">
        <w:rPr>
          <w:rFonts w:ascii="Arial" w:hAnsi="Arial" w:cs="Arial"/>
          <w:sz w:val="24"/>
          <w:szCs w:val="24"/>
        </w:rPr>
        <w:t xml:space="preserve">There are multiple risk factors for being </w:t>
      </w:r>
      <w:r>
        <w:rPr>
          <w:rFonts w:ascii="Arial" w:hAnsi="Arial" w:cs="Arial"/>
          <w:sz w:val="24"/>
          <w:szCs w:val="24"/>
        </w:rPr>
        <w:t>a young person at risk of limited employment</w:t>
      </w:r>
      <w:r w:rsidRPr="00AF6E4F">
        <w:rPr>
          <w:rFonts w:ascii="Arial" w:hAnsi="Arial" w:cs="Arial"/>
          <w:sz w:val="24"/>
          <w:szCs w:val="24"/>
        </w:rPr>
        <w:t xml:space="preserve"> that fall within the labour market, social welfare, education, health (particularly mental health) and corrections domains. Interventions that do not </w:t>
      </w:r>
      <w:proofErr w:type="gramStart"/>
      <w:r w:rsidRPr="00AF6E4F">
        <w:rPr>
          <w:rFonts w:ascii="Arial" w:hAnsi="Arial" w:cs="Arial"/>
          <w:sz w:val="24"/>
          <w:szCs w:val="24"/>
        </w:rPr>
        <w:t>take into account</w:t>
      </w:r>
      <w:proofErr w:type="gramEnd"/>
      <w:r w:rsidRPr="00AF6E4F">
        <w:rPr>
          <w:rFonts w:ascii="Arial" w:hAnsi="Arial" w:cs="Arial"/>
          <w:sz w:val="24"/>
          <w:szCs w:val="24"/>
        </w:rPr>
        <w:t xml:space="preserve"> the broader factors influencing someone’s likelihood of success in the labour market can be limited in their effectiveness.</w:t>
      </w:r>
    </w:p>
    <w:p w14:paraId="4FB5C32E" w14:textId="77777777" w:rsidR="00FB779B" w:rsidRDefault="00FB779B" w:rsidP="008F03DF">
      <w:pPr>
        <w:pStyle w:val="ListParagraph"/>
        <w:numPr>
          <w:ilvl w:val="0"/>
          <w:numId w:val="39"/>
        </w:numPr>
        <w:spacing w:before="120" w:after="120" w:line="240" w:lineRule="atLeast"/>
        <w:ind w:left="567" w:hanging="567"/>
        <w:contextualSpacing w:val="0"/>
        <w:rPr>
          <w:rFonts w:ascii="Arial" w:hAnsi="Arial" w:cs="Arial"/>
          <w:sz w:val="24"/>
          <w:szCs w:val="24"/>
        </w:rPr>
      </w:pPr>
      <w:r w:rsidRPr="00AF6E4F">
        <w:rPr>
          <w:rFonts w:ascii="Arial" w:hAnsi="Arial" w:cs="Arial"/>
          <w:sz w:val="24"/>
          <w:szCs w:val="24"/>
        </w:rPr>
        <w:t>While we know there are some recent programmes or interventions that show signs of bei</w:t>
      </w:r>
      <w:r>
        <w:rPr>
          <w:rFonts w:ascii="Arial" w:hAnsi="Arial" w:cs="Arial"/>
          <w:sz w:val="24"/>
          <w:szCs w:val="24"/>
        </w:rPr>
        <w:t>ng effective, w</w:t>
      </w:r>
      <w:r w:rsidRPr="00AF6E4F">
        <w:rPr>
          <w:rFonts w:ascii="Arial" w:hAnsi="Arial" w:cs="Arial"/>
          <w:sz w:val="24"/>
          <w:szCs w:val="24"/>
        </w:rPr>
        <w:t>e also know that some programmes have been less effective and there is a need for more work to refine these.</w:t>
      </w:r>
    </w:p>
    <w:p w14:paraId="0B0DA956" w14:textId="77777777" w:rsidR="005A5418" w:rsidRPr="00534982" w:rsidRDefault="005478D1" w:rsidP="008F03DF">
      <w:pPr>
        <w:pStyle w:val="ListParagraph"/>
        <w:numPr>
          <w:ilvl w:val="0"/>
          <w:numId w:val="39"/>
        </w:numPr>
        <w:spacing w:before="120" w:after="120" w:line="240" w:lineRule="atLeast"/>
        <w:ind w:left="567" w:hanging="567"/>
        <w:contextualSpacing w:val="0"/>
        <w:rPr>
          <w:rFonts w:ascii="Arial" w:hAnsi="Arial" w:cs="Arial"/>
        </w:rPr>
      </w:pPr>
      <w:r>
        <w:rPr>
          <w:rFonts w:ascii="Arial" w:hAnsi="Arial" w:cs="Arial"/>
          <w:sz w:val="24"/>
          <w:szCs w:val="24"/>
        </w:rPr>
        <w:t>T</w:t>
      </w:r>
      <w:r w:rsidR="00AD23BA">
        <w:rPr>
          <w:rFonts w:ascii="Arial" w:hAnsi="Arial" w:cs="Arial"/>
          <w:sz w:val="24"/>
          <w:szCs w:val="24"/>
        </w:rPr>
        <w:t xml:space="preserve">he Productivity Commission’s </w:t>
      </w:r>
      <w:r>
        <w:rPr>
          <w:rFonts w:ascii="Arial" w:hAnsi="Arial" w:cs="Arial"/>
          <w:sz w:val="24"/>
          <w:szCs w:val="24"/>
        </w:rPr>
        <w:t xml:space="preserve">2015 </w:t>
      </w:r>
      <w:r w:rsidR="00AD23BA">
        <w:rPr>
          <w:rFonts w:ascii="Arial" w:hAnsi="Arial" w:cs="Arial"/>
          <w:sz w:val="24"/>
          <w:szCs w:val="24"/>
        </w:rPr>
        <w:t>report on its inquiry into more effective social services found that the system of social services had some positive attributes. This included a willingness of government agencies to launch trials and experiments, a committed workforce, pockets of innovation in certain areas and a general government commitment to improve social services. However, it also observed a range of weaknesses</w:t>
      </w:r>
      <w:r w:rsidR="00773D9B">
        <w:rPr>
          <w:rFonts w:ascii="Arial" w:hAnsi="Arial" w:cs="Arial"/>
          <w:sz w:val="24"/>
          <w:szCs w:val="24"/>
        </w:rPr>
        <w:t xml:space="preserve"> including not being suited to addressing multiple and inter-dependent problems, limited knowledge in government on what interventions work well, poor quality or absent evaluation</w:t>
      </w:r>
      <w:r w:rsidR="007A7727">
        <w:rPr>
          <w:rFonts w:ascii="Arial" w:hAnsi="Arial" w:cs="Arial"/>
          <w:sz w:val="24"/>
          <w:szCs w:val="24"/>
        </w:rPr>
        <w:t xml:space="preserve"> (or use of evaluation information in subsequent decision-making)</w:t>
      </w:r>
      <w:r w:rsidR="00773D9B">
        <w:rPr>
          <w:rFonts w:ascii="Arial" w:hAnsi="Arial" w:cs="Arial"/>
          <w:sz w:val="24"/>
          <w:szCs w:val="24"/>
        </w:rPr>
        <w:t>, poor coordination between agencies and missing opportunities for early intervention.</w:t>
      </w:r>
      <w:r w:rsidR="00773D9B">
        <w:rPr>
          <w:rStyle w:val="FootnoteReference"/>
          <w:rFonts w:ascii="Arial" w:hAnsi="Arial" w:cs="Arial"/>
          <w:sz w:val="24"/>
          <w:szCs w:val="24"/>
        </w:rPr>
        <w:footnoteReference w:id="3"/>
      </w:r>
    </w:p>
    <w:p w14:paraId="2625F1C1" w14:textId="77777777" w:rsidR="00FB779B" w:rsidRPr="00AF6E4F" w:rsidRDefault="00FB779B" w:rsidP="00622C16">
      <w:pPr>
        <w:pStyle w:val="ListParagraph"/>
        <w:keepNext/>
        <w:numPr>
          <w:ilvl w:val="0"/>
          <w:numId w:val="39"/>
        </w:numPr>
        <w:spacing w:before="120" w:after="120" w:line="240" w:lineRule="atLeast"/>
        <w:ind w:left="567" w:hanging="567"/>
        <w:contextualSpacing w:val="0"/>
        <w:rPr>
          <w:rFonts w:ascii="Arial" w:hAnsi="Arial" w:cs="Arial"/>
          <w:sz w:val="24"/>
          <w:szCs w:val="24"/>
        </w:rPr>
      </w:pPr>
      <w:r w:rsidRPr="00AF6E4F">
        <w:rPr>
          <w:rFonts w:ascii="Arial" w:hAnsi="Arial" w:cs="Arial"/>
          <w:sz w:val="24"/>
          <w:szCs w:val="24"/>
        </w:rPr>
        <w:lastRenderedPageBreak/>
        <w:t>Previous research has suggested that interventions that include the following elements can be</w:t>
      </w:r>
      <w:r>
        <w:rPr>
          <w:rFonts w:ascii="Arial" w:hAnsi="Arial" w:cs="Arial"/>
          <w:sz w:val="24"/>
          <w:szCs w:val="24"/>
        </w:rPr>
        <w:t xml:space="preserve"> the most effective for youth at risk of limited employment:</w:t>
      </w:r>
    </w:p>
    <w:p w14:paraId="18B844B8" w14:textId="77777777" w:rsidR="00FB779B" w:rsidRPr="00AF6E4F" w:rsidRDefault="00FB779B" w:rsidP="00CD315B">
      <w:pPr>
        <w:pStyle w:val="ListParagraph"/>
        <w:numPr>
          <w:ilvl w:val="1"/>
          <w:numId w:val="39"/>
        </w:numPr>
        <w:spacing w:before="120" w:after="120" w:line="240" w:lineRule="atLeast"/>
        <w:ind w:left="992" w:hanging="425"/>
        <w:contextualSpacing w:val="0"/>
        <w:rPr>
          <w:rFonts w:ascii="Arial" w:hAnsi="Arial" w:cs="Arial"/>
          <w:sz w:val="24"/>
          <w:szCs w:val="24"/>
        </w:rPr>
      </w:pPr>
      <w:r w:rsidRPr="00AF6E4F">
        <w:rPr>
          <w:rFonts w:ascii="Arial" w:hAnsi="Arial" w:cs="Arial"/>
          <w:sz w:val="24"/>
          <w:szCs w:val="24"/>
        </w:rPr>
        <w:t>Programmes that focus on developing interpersonal and soft skills (such as time-management, working with others, resilience), that teach young people appropriate behaviour and norms in the workplace.</w:t>
      </w:r>
    </w:p>
    <w:p w14:paraId="703104E2" w14:textId="77777777" w:rsidR="00FB779B" w:rsidRPr="00AF6E4F" w:rsidRDefault="00FB779B" w:rsidP="00CD315B">
      <w:pPr>
        <w:pStyle w:val="ListParagraph"/>
        <w:numPr>
          <w:ilvl w:val="1"/>
          <w:numId w:val="39"/>
        </w:numPr>
        <w:spacing w:before="120" w:after="120" w:line="240" w:lineRule="atLeast"/>
        <w:ind w:left="992" w:hanging="425"/>
        <w:contextualSpacing w:val="0"/>
        <w:rPr>
          <w:rFonts w:ascii="Arial" w:hAnsi="Arial" w:cs="Arial"/>
          <w:sz w:val="24"/>
          <w:szCs w:val="24"/>
        </w:rPr>
      </w:pPr>
      <w:r w:rsidRPr="00AF6E4F">
        <w:rPr>
          <w:rFonts w:ascii="Arial" w:hAnsi="Arial" w:cs="Arial"/>
          <w:sz w:val="24"/>
          <w:szCs w:val="24"/>
        </w:rPr>
        <w:t>Experience in the labour market, including opportunities for work experience. Work experience helps with signalling in the labour market – showing employers that a young person has the required skills and experience for employment, going beyond attainment of qualifications. There is a role for government and employers in facilitating opportunities for work experience.</w:t>
      </w:r>
    </w:p>
    <w:p w14:paraId="23953B3A" w14:textId="77777777" w:rsidR="00FB779B" w:rsidRPr="00AF6E4F" w:rsidRDefault="00FB779B" w:rsidP="00CD315B">
      <w:pPr>
        <w:pStyle w:val="ListParagraph"/>
        <w:numPr>
          <w:ilvl w:val="1"/>
          <w:numId w:val="39"/>
        </w:numPr>
        <w:spacing w:before="120" w:after="120" w:line="240" w:lineRule="atLeast"/>
        <w:ind w:left="992" w:hanging="425"/>
        <w:contextualSpacing w:val="0"/>
        <w:rPr>
          <w:rFonts w:ascii="Arial" w:hAnsi="Arial" w:cs="Arial"/>
          <w:sz w:val="24"/>
          <w:szCs w:val="24"/>
        </w:rPr>
      </w:pPr>
      <w:r w:rsidRPr="00AF6E4F">
        <w:rPr>
          <w:rFonts w:ascii="Arial" w:hAnsi="Arial" w:cs="Arial"/>
          <w:sz w:val="24"/>
          <w:szCs w:val="24"/>
        </w:rPr>
        <w:t>Programmes that combine multiple interventions and services – young people often face multiple barriers in the labour market, and programmes that only address one barrier are generally ineffective. While there is no specific combination of services that always works, programmes that provide wraparound supports (e.g.eg pastoral care, on-the-job training), regardless of what those are, tend to do better.</w:t>
      </w:r>
    </w:p>
    <w:p w14:paraId="2F0DF3EB" w14:textId="0F6FCB1A" w:rsidR="00FB779B" w:rsidRPr="00AF6E4F" w:rsidRDefault="00FB779B" w:rsidP="00CD315B">
      <w:pPr>
        <w:pStyle w:val="ListParagraph"/>
        <w:numPr>
          <w:ilvl w:val="1"/>
          <w:numId w:val="39"/>
        </w:numPr>
        <w:spacing w:before="120" w:after="120" w:line="240" w:lineRule="atLeast"/>
        <w:ind w:left="992" w:hanging="425"/>
        <w:contextualSpacing w:val="0"/>
        <w:rPr>
          <w:rFonts w:ascii="Arial" w:hAnsi="Arial" w:cs="Arial"/>
          <w:sz w:val="24"/>
          <w:szCs w:val="24"/>
        </w:rPr>
      </w:pPr>
      <w:r w:rsidRPr="00AF6E4F">
        <w:rPr>
          <w:rFonts w:ascii="Arial" w:hAnsi="Arial" w:cs="Arial"/>
          <w:sz w:val="24"/>
          <w:szCs w:val="24"/>
        </w:rPr>
        <w:t>Targeting and follow-up monitoring systems – research has found that programmes that provide targeted services based on level of need (</w:t>
      </w:r>
      <w:proofErr w:type="spellStart"/>
      <w:r w:rsidRPr="00AF6E4F">
        <w:rPr>
          <w:rFonts w:ascii="Arial" w:hAnsi="Arial" w:cs="Arial"/>
          <w:sz w:val="24"/>
          <w:szCs w:val="24"/>
        </w:rPr>
        <w:t>eg</w:t>
      </w:r>
      <w:proofErr w:type="spellEnd"/>
      <w:r w:rsidRPr="00AF6E4F">
        <w:rPr>
          <w:rFonts w:ascii="Arial" w:hAnsi="Arial" w:cs="Arial"/>
          <w:sz w:val="24"/>
          <w:szCs w:val="24"/>
        </w:rPr>
        <w:t xml:space="preserve"> from those requiring minimal support to the most disadvantaged or hard-to-reach) are better able to respond to those needs. Effective follow-up systems and incentives to keep young people in the programme are therefore also important for success</w:t>
      </w:r>
      <w:r w:rsidR="00F31296">
        <w:rPr>
          <w:rFonts w:ascii="Arial" w:hAnsi="Arial" w:cs="Arial"/>
          <w:sz w:val="24"/>
          <w:szCs w:val="24"/>
        </w:rPr>
        <w:t>.</w:t>
      </w:r>
    </w:p>
    <w:p w14:paraId="45533BAA" w14:textId="77777777" w:rsidR="00FB779B" w:rsidRDefault="00FB779B" w:rsidP="00CD315B">
      <w:pPr>
        <w:pStyle w:val="ListParagraph"/>
        <w:numPr>
          <w:ilvl w:val="0"/>
          <w:numId w:val="39"/>
        </w:numPr>
        <w:spacing w:before="120" w:after="120" w:line="240" w:lineRule="atLeast"/>
        <w:ind w:left="567" w:hanging="567"/>
        <w:contextualSpacing w:val="0"/>
        <w:rPr>
          <w:rFonts w:ascii="Arial" w:hAnsi="Arial" w:cs="Arial"/>
          <w:sz w:val="24"/>
          <w:szCs w:val="24"/>
        </w:rPr>
      </w:pPr>
      <w:r>
        <w:rPr>
          <w:rFonts w:ascii="Arial" w:hAnsi="Arial" w:cs="Arial"/>
          <w:sz w:val="24"/>
          <w:szCs w:val="24"/>
        </w:rPr>
        <w:t>Work is already underway across government to ensure services and support that have one or more of these features. Some of these are bespoke employment initiatives or services targeted at young people, while others are programmes of work aimed at improving the effectiveness of wider systems that affect labour market outcomes for young people:</w:t>
      </w:r>
    </w:p>
    <w:p w14:paraId="2524B290" w14:textId="512AF3EE" w:rsidR="00FC270D" w:rsidRDefault="00FC270D" w:rsidP="00CD315B">
      <w:pPr>
        <w:pStyle w:val="ListParagraph"/>
        <w:numPr>
          <w:ilvl w:val="1"/>
          <w:numId w:val="39"/>
        </w:numPr>
        <w:spacing w:before="120" w:after="120" w:line="240" w:lineRule="atLeast"/>
        <w:ind w:left="992" w:hanging="425"/>
        <w:contextualSpacing w:val="0"/>
        <w:rPr>
          <w:rFonts w:ascii="Arial" w:hAnsi="Arial" w:cs="Arial"/>
          <w:sz w:val="24"/>
          <w:szCs w:val="24"/>
        </w:rPr>
      </w:pPr>
      <w:r>
        <w:rPr>
          <w:rFonts w:ascii="Arial" w:hAnsi="Arial" w:cs="Arial"/>
          <w:sz w:val="24"/>
          <w:szCs w:val="24"/>
        </w:rPr>
        <w:t xml:space="preserve">The Government has made a commitment to overhaul the welfare system to ensure it is </w:t>
      </w:r>
      <w:r w:rsidRPr="00630120">
        <w:rPr>
          <w:rFonts w:ascii="Arial" w:hAnsi="Arial" w:cs="Arial"/>
          <w:sz w:val="24"/>
          <w:szCs w:val="24"/>
        </w:rPr>
        <w:t>fairer and more accessible for all New Zealanders</w:t>
      </w:r>
      <w:r>
        <w:rPr>
          <w:rFonts w:ascii="Arial" w:hAnsi="Arial" w:cs="Arial"/>
          <w:sz w:val="24"/>
          <w:szCs w:val="24"/>
        </w:rPr>
        <w:t>. This includes work to improve and expand MSD</w:t>
      </w:r>
      <w:r w:rsidR="004000EA">
        <w:rPr>
          <w:rFonts w:ascii="Arial" w:hAnsi="Arial" w:cs="Arial"/>
          <w:sz w:val="24"/>
          <w:szCs w:val="24"/>
        </w:rPr>
        <w:t>’s</w:t>
      </w:r>
      <w:r>
        <w:rPr>
          <w:rFonts w:ascii="Arial" w:hAnsi="Arial" w:cs="Arial"/>
          <w:sz w:val="24"/>
          <w:szCs w:val="24"/>
        </w:rPr>
        <w:t xml:space="preserve"> employment services.</w:t>
      </w:r>
    </w:p>
    <w:p w14:paraId="0BE314EF" w14:textId="79E1B442" w:rsidR="00FC270D" w:rsidRPr="00035586" w:rsidRDefault="00FC270D" w:rsidP="00CD315B">
      <w:pPr>
        <w:pStyle w:val="ListParagraph"/>
        <w:numPr>
          <w:ilvl w:val="1"/>
          <w:numId w:val="39"/>
        </w:numPr>
        <w:spacing w:before="120" w:after="120" w:line="240" w:lineRule="atLeast"/>
        <w:ind w:left="992" w:hanging="425"/>
        <w:contextualSpacing w:val="0"/>
        <w:rPr>
          <w:rFonts w:ascii="Arial" w:hAnsi="Arial" w:cs="Arial"/>
          <w:sz w:val="24"/>
          <w:szCs w:val="24"/>
        </w:rPr>
      </w:pPr>
      <w:r w:rsidRPr="00035586">
        <w:rPr>
          <w:rFonts w:ascii="Arial" w:hAnsi="Arial" w:cs="Arial"/>
          <w:sz w:val="24"/>
          <w:szCs w:val="24"/>
        </w:rPr>
        <w:t>MSD has a range of employment supports available to young people that can help provide training, upskilling, work experience and other wraparound supports (such as mentoring), to give them a better chance of achieving sustainable employment. MSD received $</w:t>
      </w:r>
      <w:r w:rsidR="00767283" w:rsidRPr="00035586">
        <w:rPr>
          <w:rFonts w:ascii="Arial" w:hAnsi="Arial" w:cs="Arial"/>
          <w:sz w:val="24"/>
          <w:szCs w:val="24"/>
        </w:rPr>
        <w:t>150</w:t>
      </w:r>
      <w:r w:rsidR="00767283">
        <w:rPr>
          <w:rFonts w:ascii="Arial" w:hAnsi="Arial" w:cs="Arial"/>
          <w:sz w:val="24"/>
          <w:szCs w:val="24"/>
        </w:rPr>
        <w:t> </w:t>
      </w:r>
      <w:r w:rsidRPr="00035586">
        <w:rPr>
          <w:rFonts w:ascii="Arial" w:hAnsi="Arial" w:cs="Arial"/>
          <w:sz w:val="24"/>
          <w:szCs w:val="24"/>
        </w:rPr>
        <w:t xml:space="preserve">million through Budget 2020 to </w:t>
      </w:r>
      <w:r>
        <w:rPr>
          <w:rFonts w:ascii="Arial" w:hAnsi="Arial" w:cs="Arial"/>
          <w:sz w:val="24"/>
          <w:szCs w:val="24"/>
        </w:rPr>
        <w:t xml:space="preserve">support the </w:t>
      </w:r>
      <w:r w:rsidRPr="00035586">
        <w:rPr>
          <w:rFonts w:ascii="Arial" w:hAnsi="Arial" w:cs="Arial"/>
          <w:sz w:val="24"/>
          <w:szCs w:val="24"/>
        </w:rPr>
        <w:t xml:space="preserve">expanding and adjusting </w:t>
      </w:r>
      <w:r>
        <w:rPr>
          <w:rFonts w:ascii="Arial" w:hAnsi="Arial" w:cs="Arial"/>
          <w:sz w:val="24"/>
          <w:szCs w:val="24"/>
        </w:rPr>
        <w:t xml:space="preserve">of </w:t>
      </w:r>
      <w:r w:rsidRPr="00035586">
        <w:rPr>
          <w:rFonts w:ascii="Arial" w:hAnsi="Arial" w:cs="Arial"/>
          <w:sz w:val="24"/>
          <w:szCs w:val="24"/>
        </w:rPr>
        <w:t xml:space="preserve">MSD’s employment support services </w:t>
      </w:r>
      <w:r>
        <w:rPr>
          <w:rFonts w:ascii="Arial" w:hAnsi="Arial" w:cs="Arial"/>
          <w:sz w:val="24"/>
          <w:szCs w:val="24"/>
        </w:rPr>
        <w:t>to enable</w:t>
      </w:r>
      <w:r w:rsidRPr="00035586">
        <w:rPr>
          <w:rFonts w:ascii="Arial" w:hAnsi="Arial" w:cs="Arial"/>
          <w:sz w:val="24"/>
          <w:szCs w:val="24"/>
        </w:rPr>
        <w:t xml:space="preserve"> MSD to take a more proactive and innovative approach with employers</w:t>
      </w:r>
      <w:r>
        <w:rPr>
          <w:rFonts w:ascii="Arial" w:hAnsi="Arial" w:cs="Arial"/>
          <w:sz w:val="24"/>
          <w:szCs w:val="24"/>
        </w:rPr>
        <w:t xml:space="preserve"> </w:t>
      </w:r>
      <w:r w:rsidRPr="00035586">
        <w:rPr>
          <w:rFonts w:ascii="Arial" w:hAnsi="Arial" w:cs="Arial"/>
          <w:sz w:val="24"/>
          <w:szCs w:val="24"/>
        </w:rPr>
        <w:t>and employees</w:t>
      </w:r>
      <w:r>
        <w:rPr>
          <w:rFonts w:ascii="Arial" w:hAnsi="Arial" w:cs="Arial"/>
          <w:sz w:val="24"/>
          <w:szCs w:val="24"/>
        </w:rPr>
        <w:t xml:space="preserve">. </w:t>
      </w:r>
      <w:r w:rsidRPr="00035586">
        <w:rPr>
          <w:rFonts w:ascii="Arial" w:hAnsi="Arial" w:cs="Arial"/>
          <w:sz w:val="24"/>
          <w:szCs w:val="24"/>
        </w:rPr>
        <w:t xml:space="preserve">Some examples of employment services available </w:t>
      </w:r>
      <w:r>
        <w:rPr>
          <w:rFonts w:ascii="Arial" w:hAnsi="Arial" w:cs="Arial"/>
          <w:sz w:val="24"/>
          <w:szCs w:val="24"/>
        </w:rPr>
        <w:t xml:space="preserve">through MSD </w:t>
      </w:r>
      <w:r w:rsidRPr="00035586">
        <w:rPr>
          <w:rFonts w:ascii="Arial" w:hAnsi="Arial" w:cs="Arial"/>
          <w:sz w:val="24"/>
          <w:szCs w:val="24"/>
        </w:rPr>
        <w:t>include Mana in Mahi, the Youth Service</w:t>
      </w:r>
      <w:r w:rsidR="00710711" w:rsidRPr="00F31296">
        <w:rPr>
          <w:vertAlign w:val="superscript"/>
        </w:rPr>
        <w:footnoteReference w:id="4"/>
      </w:r>
      <w:r w:rsidRPr="00035586">
        <w:rPr>
          <w:rFonts w:ascii="Arial" w:hAnsi="Arial" w:cs="Arial"/>
          <w:sz w:val="24"/>
          <w:szCs w:val="24"/>
        </w:rPr>
        <w:t>, Flexi-Wage and Skills for Industry.</w:t>
      </w:r>
    </w:p>
    <w:p w14:paraId="21A6C767" w14:textId="77777777" w:rsidR="00AC49E7" w:rsidRDefault="00AC49E7" w:rsidP="00CD315B">
      <w:pPr>
        <w:pStyle w:val="ListParagraph"/>
        <w:numPr>
          <w:ilvl w:val="1"/>
          <w:numId w:val="39"/>
        </w:numPr>
        <w:spacing w:before="120" w:after="120" w:line="240" w:lineRule="atLeast"/>
        <w:ind w:left="992" w:hanging="425"/>
        <w:contextualSpacing w:val="0"/>
        <w:rPr>
          <w:rFonts w:ascii="Arial" w:hAnsi="Arial" w:cs="Arial"/>
          <w:sz w:val="24"/>
          <w:szCs w:val="24"/>
        </w:rPr>
      </w:pPr>
      <w:r w:rsidRPr="00035586">
        <w:rPr>
          <w:rFonts w:ascii="Arial" w:hAnsi="Arial" w:cs="Arial"/>
          <w:sz w:val="24"/>
          <w:szCs w:val="24"/>
        </w:rPr>
        <w:t xml:space="preserve">Mana in Mahi supports </w:t>
      </w:r>
      <w:r>
        <w:rPr>
          <w:rFonts w:ascii="Arial" w:hAnsi="Arial" w:cs="Arial"/>
          <w:sz w:val="24"/>
          <w:szCs w:val="24"/>
        </w:rPr>
        <w:t>people who are</w:t>
      </w:r>
      <w:r w:rsidRPr="00035586">
        <w:rPr>
          <w:rFonts w:ascii="Arial" w:hAnsi="Arial" w:cs="Arial"/>
          <w:sz w:val="24"/>
          <w:szCs w:val="24"/>
        </w:rPr>
        <w:t xml:space="preserve"> disadvantaged in the labour market </w:t>
      </w:r>
      <w:r>
        <w:rPr>
          <w:rFonts w:ascii="Arial" w:hAnsi="Arial" w:cs="Arial"/>
          <w:sz w:val="24"/>
          <w:szCs w:val="24"/>
        </w:rPr>
        <w:t xml:space="preserve">and at risk of long-term benefit receipt </w:t>
      </w:r>
      <w:r w:rsidRPr="00256641">
        <w:rPr>
          <w:rFonts w:ascii="Arial" w:hAnsi="Arial" w:cs="Arial"/>
          <w:sz w:val="24"/>
          <w:szCs w:val="24"/>
        </w:rPr>
        <w:t>to gain an apprenticeship or formal industry qualification, leading to long-term sustainable employment.</w:t>
      </w:r>
      <w:r>
        <w:rPr>
          <w:rFonts w:ascii="Arial" w:hAnsi="Arial" w:cs="Arial"/>
          <w:sz w:val="24"/>
          <w:szCs w:val="24"/>
        </w:rPr>
        <w:t xml:space="preserve"> Employers are supported with a wage subsidy, while participants can </w:t>
      </w:r>
      <w:r>
        <w:rPr>
          <w:rFonts w:ascii="Arial" w:hAnsi="Arial" w:cs="Arial"/>
          <w:sz w:val="24"/>
          <w:szCs w:val="24"/>
        </w:rPr>
        <w:lastRenderedPageBreak/>
        <w:t>access pastoral care, incentive payments and other supports to help them to succeed. Mana in Mahi was given a boost of $30.3 million to support an expansion to the programme from August 2020.</w:t>
      </w:r>
    </w:p>
    <w:p w14:paraId="2ACEB3A5" w14:textId="77777777" w:rsidR="008C4E06" w:rsidRPr="00854696" w:rsidRDefault="008C4E06" w:rsidP="00CD315B">
      <w:pPr>
        <w:pStyle w:val="ListParagraph"/>
        <w:numPr>
          <w:ilvl w:val="1"/>
          <w:numId w:val="39"/>
        </w:numPr>
        <w:spacing w:before="120" w:after="120" w:line="240" w:lineRule="atLeast"/>
        <w:ind w:left="992" w:hanging="425"/>
        <w:contextualSpacing w:val="0"/>
        <w:rPr>
          <w:rFonts w:ascii="Arial" w:hAnsi="Arial" w:cs="Arial"/>
          <w:sz w:val="24"/>
          <w:szCs w:val="24"/>
        </w:rPr>
      </w:pPr>
      <w:r w:rsidRPr="00854696">
        <w:rPr>
          <w:rFonts w:ascii="Arial" w:hAnsi="Arial" w:cs="Arial"/>
          <w:sz w:val="24"/>
          <w:szCs w:val="24"/>
        </w:rPr>
        <w:t>Foundation Education programmes (including through the Youth Guarantee Fees-Free programme) target people with no or limited qualifications. They aim to build core knowledge and skills so people can participate fully in their communities and in sustainable employment. Effective foundation education offers not only literacy and numeracy, but also many other ‘soft’ and transferable skills. Programmes can be offered in workplaces, tertiary education institutions and community settings. Learners often need effective pastoral care and support services alongside their education and t</w:t>
      </w:r>
      <w:r w:rsidRPr="008C4E06">
        <w:rPr>
          <w:rFonts w:ascii="Arial" w:hAnsi="Arial" w:cs="Arial"/>
          <w:sz w:val="24"/>
          <w:szCs w:val="24"/>
        </w:rPr>
        <w:t>raining.</w:t>
      </w:r>
    </w:p>
    <w:p w14:paraId="56CE8AAB" w14:textId="77777777" w:rsidR="00295640" w:rsidRDefault="00295640" w:rsidP="00CD315B">
      <w:pPr>
        <w:pStyle w:val="ListParagraph"/>
        <w:numPr>
          <w:ilvl w:val="1"/>
          <w:numId w:val="39"/>
        </w:numPr>
        <w:spacing w:before="120" w:after="120" w:line="240" w:lineRule="atLeast"/>
        <w:ind w:left="992" w:hanging="425"/>
        <w:contextualSpacing w:val="0"/>
        <w:rPr>
          <w:rFonts w:ascii="Arial" w:hAnsi="Arial" w:cs="Arial"/>
          <w:sz w:val="24"/>
          <w:szCs w:val="24"/>
        </w:rPr>
      </w:pPr>
      <w:r>
        <w:rPr>
          <w:rFonts w:ascii="Arial" w:hAnsi="Arial" w:cs="Arial"/>
          <w:sz w:val="24"/>
          <w:szCs w:val="24"/>
        </w:rPr>
        <w:t xml:space="preserve">The Reform of Vocational Education is reshaping the vocational education and training system. </w:t>
      </w:r>
      <w:r w:rsidR="008C4E06">
        <w:rPr>
          <w:rFonts w:ascii="Arial" w:hAnsi="Arial" w:cs="Arial"/>
          <w:sz w:val="24"/>
          <w:szCs w:val="24"/>
        </w:rPr>
        <w:t>P</w:t>
      </w:r>
      <w:r>
        <w:rPr>
          <w:rFonts w:ascii="Arial" w:hAnsi="Arial" w:cs="Arial"/>
          <w:sz w:val="24"/>
          <w:szCs w:val="24"/>
        </w:rPr>
        <w:t>reviously separate on-job industry training and on-campus vocational education are being integrated as a single system.</w:t>
      </w:r>
      <w:r w:rsidR="008C4E06">
        <w:rPr>
          <w:rFonts w:ascii="Arial" w:hAnsi="Arial" w:cs="Arial"/>
          <w:sz w:val="24"/>
          <w:szCs w:val="24"/>
        </w:rPr>
        <w:t xml:space="preserve"> The reform is also aimed at i</w:t>
      </w:r>
      <w:r w:rsidR="006B0D9D">
        <w:rPr>
          <w:rFonts w:ascii="Arial" w:hAnsi="Arial" w:cs="Arial"/>
          <w:sz w:val="24"/>
          <w:szCs w:val="24"/>
        </w:rPr>
        <w:t xml:space="preserve">ncreasing </w:t>
      </w:r>
      <w:r w:rsidR="00FC270D">
        <w:rPr>
          <w:rFonts w:ascii="Arial" w:hAnsi="Arial" w:cs="Arial"/>
          <w:sz w:val="24"/>
          <w:szCs w:val="24"/>
        </w:rPr>
        <w:t xml:space="preserve">the quality of generic and transferable ‘soft skills’ in work-based </w:t>
      </w:r>
      <w:proofErr w:type="gramStart"/>
      <w:r w:rsidR="00FC270D">
        <w:rPr>
          <w:rFonts w:ascii="Arial" w:hAnsi="Arial" w:cs="Arial"/>
          <w:sz w:val="24"/>
          <w:szCs w:val="24"/>
        </w:rPr>
        <w:t>training, and</w:t>
      </w:r>
      <w:proofErr w:type="gramEnd"/>
      <w:r w:rsidR="00FC270D">
        <w:rPr>
          <w:rFonts w:ascii="Arial" w:hAnsi="Arial" w:cs="Arial"/>
          <w:sz w:val="24"/>
          <w:szCs w:val="24"/>
        </w:rPr>
        <w:t xml:space="preserve"> providing stronger links between off-site theory-based learning and work-based components.</w:t>
      </w:r>
    </w:p>
    <w:p w14:paraId="4CAAB822" w14:textId="77777777" w:rsidR="00295640" w:rsidRDefault="00295640" w:rsidP="00CD315B">
      <w:pPr>
        <w:pStyle w:val="ListParagraph"/>
        <w:numPr>
          <w:ilvl w:val="1"/>
          <w:numId w:val="39"/>
        </w:numPr>
        <w:spacing w:before="120" w:after="120" w:line="240" w:lineRule="atLeast"/>
        <w:ind w:left="992" w:hanging="425"/>
        <w:contextualSpacing w:val="0"/>
        <w:rPr>
          <w:rFonts w:ascii="Arial" w:hAnsi="Arial" w:cs="Arial"/>
          <w:sz w:val="24"/>
          <w:szCs w:val="24"/>
        </w:rPr>
      </w:pPr>
      <w:r>
        <w:rPr>
          <w:rFonts w:ascii="Arial" w:hAnsi="Arial" w:cs="Arial"/>
          <w:sz w:val="24"/>
          <w:szCs w:val="24"/>
        </w:rPr>
        <w:t xml:space="preserve">He Poutama </w:t>
      </w:r>
      <w:proofErr w:type="spellStart"/>
      <w:r>
        <w:rPr>
          <w:rFonts w:ascii="Arial" w:hAnsi="Arial" w:cs="Arial"/>
          <w:sz w:val="24"/>
          <w:szCs w:val="24"/>
        </w:rPr>
        <w:t>Rangatahi</w:t>
      </w:r>
      <w:proofErr w:type="spellEnd"/>
      <w:r w:rsidR="009F3736">
        <w:rPr>
          <w:rFonts w:ascii="Arial" w:hAnsi="Arial" w:cs="Arial"/>
          <w:sz w:val="24"/>
          <w:szCs w:val="24"/>
        </w:rPr>
        <w:t xml:space="preserve"> (HPR) was started in 2017 as a pilot initiative and was subsequently expanded in later years, including receiving $34.5 million in ongoing</w:t>
      </w:r>
      <w:r w:rsidR="008C4E06">
        <w:rPr>
          <w:rFonts w:ascii="Arial" w:hAnsi="Arial" w:cs="Arial"/>
          <w:sz w:val="24"/>
          <w:szCs w:val="24"/>
        </w:rPr>
        <w:t xml:space="preserve"> annual</w:t>
      </w:r>
      <w:r w:rsidR="009F3736">
        <w:rPr>
          <w:rFonts w:ascii="Arial" w:hAnsi="Arial" w:cs="Arial"/>
          <w:sz w:val="24"/>
          <w:szCs w:val="24"/>
        </w:rPr>
        <w:t xml:space="preserve"> funding</w:t>
      </w:r>
      <w:r w:rsidR="006B0D9D">
        <w:rPr>
          <w:rFonts w:ascii="Arial" w:hAnsi="Arial" w:cs="Arial"/>
          <w:sz w:val="24"/>
          <w:szCs w:val="24"/>
        </w:rPr>
        <w:t xml:space="preserve"> in Budget 2020</w:t>
      </w:r>
      <w:r w:rsidR="009F3736">
        <w:rPr>
          <w:rFonts w:ascii="Arial" w:hAnsi="Arial" w:cs="Arial"/>
          <w:sz w:val="24"/>
          <w:szCs w:val="24"/>
        </w:rPr>
        <w:t xml:space="preserve"> to</w:t>
      </w:r>
      <w:r w:rsidR="006B0D9D">
        <w:rPr>
          <w:rFonts w:ascii="Arial" w:hAnsi="Arial" w:cs="Arial"/>
          <w:sz w:val="24"/>
          <w:szCs w:val="24"/>
        </w:rPr>
        <w:t xml:space="preserve"> continue in the regions and</w:t>
      </w:r>
      <w:r w:rsidR="009F3736">
        <w:rPr>
          <w:rFonts w:ascii="Arial" w:hAnsi="Arial" w:cs="Arial"/>
          <w:sz w:val="24"/>
          <w:szCs w:val="24"/>
        </w:rPr>
        <w:t xml:space="preserve"> expand into urban areas. HPR </w:t>
      </w:r>
      <w:r w:rsidR="00F83642">
        <w:rPr>
          <w:rFonts w:ascii="Arial" w:hAnsi="Arial" w:cs="Arial"/>
          <w:sz w:val="24"/>
          <w:szCs w:val="24"/>
        </w:rPr>
        <w:t xml:space="preserve">funds local projects designed to support </w:t>
      </w:r>
      <w:proofErr w:type="spellStart"/>
      <w:r w:rsidR="00F83642">
        <w:rPr>
          <w:rFonts w:ascii="Arial" w:hAnsi="Arial" w:cs="Arial"/>
          <w:sz w:val="24"/>
          <w:szCs w:val="24"/>
        </w:rPr>
        <w:t>rangatahi</w:t>
      </w:r>
      <w:proofErr w:type="spellEnd"/>
      <w:r w:rsidR="00F83642">
        <w:rPr>
          <w:rFonts w:ascii="Arial" w:hAnsi="Arial" w:cs="Arial"/>
          <w:sz w:val="24"/>
          <w:szCs w:val="24"/>
        </w:rPr>
        <w:t xml:space="preserve"> who are most at risk of long-term unemployment who may need extra individualised and ongoing support to connect to training and employment. Paid work experience and wraparound support such as pastoral care </w:t>
      </w:r>
      <w:proofErr w:type="gramStart"/>
      <w:r w:rsidR="00F83642">
        <w:rPr>
          <w:rFonts w:ascii="Arial" w:hAnsi="Arial" w:cs="Arial"/>
          <w:sz w:val="24"/>
          <w:szCs w:val="24"/>
        </w:rPr>
        <w:t>are</w:t>
      </w:r>
      <w:proofErr w:type="gramEnd"/>
      <w:r w:rsidR="00F83642">
        <w:rPr>
          <w:rFonts w:ascii="Arial" w:hAnsi="Arial" w:cs="Arial"/>
          <w:sz w:val="24"/>
          <w:szCs w:val="24"/>
        </w:rPr>
        <w:t xml:space="preserve"> a key element of HPR initiatives.</w:t>
      </w:r>
    </w:p>
    <w:p w14:paraId="4C66CD69" w14:textId="77777777" w:rsidR="00295640" w:rsidRDefault="00295640" w:rsidP="00CD315B">
      <w:pPr>
        <w:pStyle w:val="ListParagraph"/>
        <w:numPr>
          <w:ilvl w:val="1"/>
          <w:numId w:val="39"/>
        </w:numPr>
        <w:spacing w:before="120" w:after="120" w:line="240" w:lineRule="atLeast"/>
        <w:ind w:left="992" w:hanging="425"/>
        <w:contextualSpacing w:val="0"/>
        <w:rPr>
          <w:rFonts w:ascii="Arial" w:hAnsi="Arial" w:cs="Arial"/>
          <w:sz w:val="24"/>
          <w:szCs w:val="24"/>
        </w:rPr>
      </w:pPr>
      <w:r>
        <w:rPr>
          <w:rFonts w:ascii="Arial" w:hAnsi="Arial" w:cs="Arial"/>
          <w:sz w:val="24"/>
          <w:szCs w:val="24"/>
        </w:rPr>
        <w:t>The Māori Trades and Training Fund</w:t>
      </w:r>
      <w:r w:rsidR="00F83642">
        <w:rPr>
          <w:rFonts w:ascii="Arial" w:hAnsi="Arial" w:cs="Arial"/>
          <w:sz w:val="24"/>
          <w:szCs w:val="24"/>
        </w:rPr>
        <w:t xml:space="preserve"> </w:t>
      </w:r>
      <w:r w:rsidR="00F83642" w:rsidRPr="00854696">
        <w:rPr>
          <w:rFonts w:ascii="Arial" w:hAnsi="Arial" w:cs="Arial"/>
          <w:sz w:val="24"/>
          <w:szCs w:val="24"/>
        </w:rPr>
        <w:t>was allocated $50 million over two years as part of the COVID-19 Response and Recovery Fund (CRRF)</w:t>
      </w:r>
      <w:r w:rsidR="008C4E06" w:rsidRPr="00CD315B">
        <w:rPr>
          <w:vertAlign w:val="superscript"/>
        </w:rPr>
        <w:footnoteReference w:id="5"/>
      </w:r>
      <w:r w:rsidR="00F83642" w:rsidRPr="00854696">
        <w:rPr>
          <w:rFonts w:ascii="Arial" w:hAnsi="Arial" w:cs="Arial"/>
          <w:sz w:val="24"/>
          <w:szCs w:val="24"/>
        </w:rPr>
        <w:t xml:space="preserve"> to support innovative community-designed initiatives that provide employment-focused training opportunities that are by Māori, for Māori. The MTTF has an emphasis on cohort and group-based approaches that are relevant and applicable to Māori.</w:t>
      </w:r>
      <w:r w:rsidR="00F83642">
        <w:rPr>
          <w:rFonts w:ascii="Arial" w:hAnsi="Arial" w:cs="Arial"/>
          <w:sz w:val="24"/>
          <w:szCs w:val="24"/>
        </w:rPr>
        <w:t xml:space="preserve"> It is a similar model to </w:t>
      </w:r>
      <w:proofErr w:type="gramStart"/>
      <w:r w:rsidR="00F83642">
        <w:rPr>
          <w:rFonts w:ascii="Arial" w:hAnsi="Arial" w:cs="Arial"/>
          <w:sz w:val="24"/>
          <w:szCs w:val="24"/>
        </w:rPr>
        <w:t>HPR, but</w:t>
      </w:r>
      <w:proofErr w:type="gramEnd"/>
      <w:r w:rsidR="00F83642">
        <w:rPr>
          <w:rFonts w:ascii="Arial" w:hAnsi="Arial" w:cs="Arial"/>
          <w:sz w:val="24"/>
          <w:szCs w:val="24"/>
        </w:rPr>
        <w:t xml:space="preserve"> is not limited specifically to young people. </w:t>
      </w:r>
    </w:p>
    <w:p w14:paraId="1EE325EA" w14:textId="77777777" w:rsidR="00295640" w:rsidRPr="00CD315B" w:rsidRDefault="00295640" w:rsidP="00CD315B">
      <w:pPr>
        <w:pStyle w:val="ListParagraph"/>
        <w:numPr>
          <w:ilvl w:val="1"/>
          <w:numId w:val="39"/>
        </w:numPr>
        <w:spacing w:before="120" w:after="120" w:line="240" w:lineRule="atLeast"/>
        <w:ind w:left="992" w:hanging="425"/>
        <w:contextualSpacing w:val="0"/>
        <w:rPr>
          <w:rFonts w:ascii="Arial" w:hAnsi="Arial" w:cs="Arial"/>
          <w:sz w:val="24"/>
          <w:szCs w:val="24"/>
        </w:rPr>
      </w:pPr>
      <w:r>
        <w:rPr>
          <w:rFonts w:ascii="Arial" w:hAnsi="Arial" w:cs="Arial"/>
          <w:sz w:val="24"/>
          <w:szCs w:val="24"/>
        </w:rPr>
        <w:t>Jobs and Skills Hubs</w:t>
      </w:r>
      <w:r w:rsidR="00F83642">
        <w:rPr>
          <w:rFonts w:ascii="Arial" w:hAnsi="Arial" w:cs="Arial"/>
          <w:sz w:val="24"/>
          <w:szCs w:val="24"/>
        </w:rPr>
        <w:t xml:space="preserve"> </w:t>
      </w:r>
      <w:r w:rsidR="00F83642" w:rsidRPr="00767283">
        <w:rPr>
          <w:rFonts w:ascii="Arial" w:hAnsi="Arial" w:cs="Arial"/>
          <w:sz w:val="24"/>
          <w:szCs w:val="24"/>
        </w:rPr>
        <w:t>work with employers involved in key construction and infrastructure projects to facilitate fast-paced jobs brokerage and training across a range of job levels and connect employers to the local workforce</w:t>
      </w:r>
      <w:r w:rsidR="00E10E2C" w:rsidRPr="00767283">
        <w:rPr>
          <w:rFonts w:ascii="Arial" w:hAnsi="Arial" w:cs="Arial"/>
          <w:sz w:val="24"/>
          <w:szCs w:val="24"/>
        </w:rPr>
        <w:t>. Hubs also facilitate connections between employers and school leavers</w:t>
      </w:r>
      <w:r w:rsidR="00E254E9" w:rsidRPr="00767283">
        <w:rPr>
          <w:rFonts w:ascii="Arial" w:hAnsi="Arial" w:cs="Arial"/>
          <w:sz w:val="24"/>
          <w:szCs w:val="24"/>
        </w:rPr>
        <w:t xml:space="preserve"> to help them lear</w:t>
      </w:r>
      <w:r w:rsidR="00E254E9" w:rsidRPr="00546CBF">
        <w:rPr>
          <w:rFonts w:ascii="Arial" w:hAnsi="Arial" w:cs="Arial"/>
          <w:sz w:val="24"/>
          <w:szCs w:val="24"/>
        </w:rPr>
        <w:t>n about occupations and employment opportunities in their area.</w:t>
      </w:r>
    </w:p>
    <w:p w14:paraId="0B3243A6" w14:textId="77777777" w:rsidR="009F3736" w:rsidRPr="00CD315B" w:rsidRDefault="009F3736" w:rsidP="00CD315B">
      <w:pPr>
        <w:pStyle w:val="ListParagraph"/>
        <w:numPr>
          <w:ilvl w:val="1"/>
          <w:numId w:val="39"/>
        </w:numPr>
        <w:spacing w:before="120" w:after="120" w:line="240" w:lineRule="atLeast"/>
        <w:ind w:left="992" w:hanging="425"/>
        <w:contextualSpacing w:val="0"/>
        <w:rPr>
          <w:rFonts w:ascii="Arial" w:hAnsi="Arial" w:cs="Arial"/>
          <w:sz w:val="24"/>
          <w:szCs w:val="24"/>
        </w:rPr>
      </w:pPr>
      <w:r>
        <w:rPr>
          <w:rFonts w:ascii="Arial" w:hAnsi="Arial" w:cs="Arial"/>
          <w:sz w:val="24"/>
          <w:szCs w:val="24"/>
        </w:rPr>
        <w:t>Māori and Pasifika Trades Training (MPTT)</w:t>
      </w:r>
      <w:r w:rsidR="00E10E2C">
        <w:rPr>
          <w:rFonts w:ascii="Arial" w:hAnsi="Arial" w:cs="Arial"/>
          <w:sz w:val="24"/>
          <w:szCs w:val="24"/>
        </w:rPr>
        <w:t xml:space="preserve"> p</w:t>
      </w:r>
      <w:r w:rsidR="00E10E2C" w:rsidRPr="00E10E2C">
        <w:rPr>
          <w:rFonts w:ascii="Arial" w:hAnsi="Arial" w:cs="Arial"/>
          <w:sz w:val="24"/>
          <w:szCs w:val="24"/>
        </w:rPr>
        <w:t>rovide</w:t>
      </w:r>
      <w:r w:rsidR="00E10E2C">
        <w:rPr>
          <w:rFonts w:ascii="Arial" w:hAnsi="Arial" w:cs="Arial"/>
          <w:sz w:val="24"/>
          <w:szCs w:val="24"/>
        </w:rPr>
        <w:t>s</w:t>
      </w:r>
      <w:r w:rsidR="00E10E2C" w:rsidRPr="00E10E2C">
        <w:rPr>
          <w:rFonts w:ascii="Arial" w:hAnsi="Arial" w:cs="Arial"/>
          <w:sz w:val="24"/>
          <w:szCs w:val="24"/>
        </w:rPr>
        <w:t xml:space="preserve"> fees-free tertiary education places for Māori and Pasifika learners aged between 16 and 40</w:t>
      </w:r>
      <w:r w:rsidR="00E254E9">
        <w:rPr>
          <w:rFonts w:ascii="Arial" w:hAnsi="Arial" w:cs="Arial"/>
          <w:sz w:val="24"/>
          <w:szCs w:val="24"/>
        </w:rPr>
        <w:t xml:space="preserve">. The programme combines </w:t>
      </w:r>
      <w:r w:rsidR="00E254E9" w:rsidRPr="00E254E9">
        <w:rPr>
          <w:rFonts w:ascii="Arial" w:hAnsi="Arial" w:cs="Arial"/>
          <w:sz w:val="24"/>
          <w:szCs w:val="24"/>
        </w:rPr>
        <w:t xml:space="preserve">trades training with mentoring and financial </w:t>
      </w:r>
      <w:proofErr w:type="gramStart"/>
      <w:r w:rsidR="00E254E9" w:rsidRPr="00E254E9">
        <w:rPr>
          <w:rFonts w:ascii="Arial" w:hAnsi="Arial" w:cs="Arial"/>
          <w:sz w:val="24"/>
          <w:szCs w:val="24"/>
        </w:rPr>
        <w:t>support</w:t>
      </w:r>
      <w:r w:rsidR="00E254E9">
        <w:rPr>
          <w:rFonts w:ascii="Arial" w:hAnsi="Arial" w:cs="Arial"/>
          <w:sz w:val="24"/>
          <w:szCs w:val="24"/>
        </w:rPr>
        <w:t>, and</w:t>
      </w:r>
      <w:proofErr w:type="gramEnd"/>
      <w:r w:rsidR="00E254E9">
        <w:rPr>
          <w:rFonts w:ascii="Arial" w:hAnsi="Arial" w:cs="Arial"/>
          <w:sz w:val="24"/>
          <w:szCs w:val="24"/>
        </w:rPr>
        <w:t xml:space="preserve"> connects trainees with employers in their chosen trade.</w:t>
      </w:r>
    </w:p>
    <w:p w14:paraId="2259EF47" w14:textId="77777777" w:rsidR="00D86667" w:rsidRPr="00B614E2" w:rsidRDefault="00D86667" w:rsidP="00CD315B">
      <w:pPr>
        <w:pStyle w:val="Heading2"/>
        <w:keepNext/>
        <w:spacing w:before="120" w:after="120" w:line="240" w:lineRule="atLeast"/>
        <w:rPr>
          <w:rFonts w:ascii="Calibri Light" w:hAnsi="Calibri Light" w:cs="Calibri Light"/>
          <w:color w:val="365F91" w:themeColor="accent1" w:themeShade="BF"/>
        </w:rPr>
      </w:pPr>
      <w:r w:rsidRPr="00B614E2">
        <w:rPr>
          <w:rFonts w:ascii="Calibri Light" w:hAnsi="Calibri Light" w:cs="Calibri Light"/>
          <w:color w:val="365F91" w:themeColor="accent1" w:themeShade="BF"/>
        </w:rPr>
        <w:lastRenderedPageBreak/>
        <w:t>Future trends</w:t>
      </w:r>
    </w:p>
    <w:p w14:paraId="6F3D4491" w14:textId="77777777" w:rsidR="00D86667" w:rsidRPr="00293360" w:rsidRDefault="00D86667" w:rsidP="008F03DF">
      <w:pPr>
        <w:pStyle w:val="Heading3"/>
        <w:spacing w:before="120" w:after="120" w:line="240" w:lineRule="atLeast"/>
        <w:rPr>
          <w:color w:val="365F91" w:themeColor="accent1" w:themeShade="BF"/>
        </w:rPr>
      </w:pPr>
      <w:r w:rsidRPr="00293360">
        <w:rPr>
          <w:color w:val="365F91" w:themeColor="accent1" w:themeShade="BF"/>
        </w:rPr>
        <w:t>Demographic</w:t>
      </w:r>
    </w:p>
    <w:p w14:paraId="1C7C5D59" w14:textId="77777777" w:rsidR="00D86667" w:rsidRPr="00821DD2" w:rsidRDefault="00D86667"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AF6E4F">
        <w:rPr>
          <w:rFonts w:ascii="Arial" w:hAnsi="Arial" w:cs="Arial"/>
          <w:sz w:val="24"/>
          <w:szCs w:val="24"/>
        </w:rPr>
        <w:t>New Zealand’s population is aging</w:t>
      </w:r>
      <w:r w:rsidR="00D20BC2">
        <w:rPr>
          <w:rFonts w:ascii="Arial" w:hAnsi="Arial" w:cs="Arial"/>
          <w:sz w:val="24"/>
          <w:szCs w:val="24"/>
        </w:rPr>
        <w:t>, and we will also see shifts in the demographic composition of the population</w:t>
      </w:r>
      <w:r w:rsidRPr="00AF6E4F">
        <w:rPr>
          <w:rFonts w:ascii="Arial" w:hAnsi="Arial" w:cs="Arial"/>
          <w:sz w:val="24"/>
          <w:szCs w:val="24"/>
        </w:rPr>
        <w:t>. In 2018, the median age was 37.2 years. By 2038, the median age is expected to be 42.2 years.</w:t>
      </w:r>
      <w:r w:rsidRPr="00C5546F">
        <w:rPr>
          <w:vertAlign w:val="superscript"/>
        </w:rPr>
        <w:footnoteReference w:id="6"/>
      </w:r>
      <w:r w:rsidRPr="00AF6E4F">
        <w:rPr>
          <w:rFonts w:ascii="Arial" w:hAnsi="Arial" w:cs="Arial"/>
          <w:sz w:val="24"/>
          <w:szCs w:val="24"/>
        </w:rPr>
        <w:t xml:space="preserve"> An ageing population may lead to shortages of qualified and skilled labour as retirement of older workers increases relative to the number of young people entering the labour market. The increasing proportion of Māori and of Pacific as a percentage of the population also means addressing equity in educational outcomes for Māori and Pacific learners is of urgent importance. Given the young age structure of the Māori and Pacific populations, there are significant benefits to be gained from improving outcomes for young Māori and Pacific peoples.</w:t>
      </w:r>
    </w:p>
    <w:tbl>
      <w:tblPr>
        <w:tblStyle w:val="TableGrid"/>
        <w:tblW w:w="0" w:type="auto"/>
        <w:tblLook w:val="04A0" w:firstRow="1" w:lastRow="0" w:firstColumn="1" w:lastColumn="0" w:noHBand="0" w:noVBand="1"/>
      </w:tblPr>
      <w:tblGrid>
        <w:gridCol w:w="4513"/>
        <w:gridCol w:w="4513"/>
      </w:tblGrid>
      <w:tr w:rsidR="00821DD2" w14:paraId="7533486F" w14:textId="77777777" w:rsidTr="002337DE">
        <w:tc>
          <w:tcPr>
            <w:tcW w:w="4513" w:type="dxa"/>
            <w:tcBorders>
              <w:top w:val="nil"/>
              <w:left w:val="nil"/>
              <w:bottom w:val="nil"/>
              <w:right w:val="nil"/>
            </w:tcBorders>
          </w:tcPr>
          <w:p w14:paraId="6A15DDBF" w14:textId="58E02647" w:rsidR="00821DD2" w:rsidRDefault="005D18BF" w:rsidP="008F03DF">
            <w:pPr>
              <w:spacing w:before="120" w:after="120" w:line="240" w:lineRule="atLeast"/>
              <w:rPr>
                <w:rFonts w:ascii="Arial" w:hAnsi="Arial" w:cs="Arial"/>
                <w:noProof/>
                <w:sz w:val="24"/>
                <w:szCs w:val="24"/>
                <w:lang w:eastAsia="en-NZ"/>
              </w:rPr>
            </w:pPr>
            <w:r>
              <w:rPr>
                <w:noProof/>
                <w:lang w:eastAsia="en-NZ"/>
              </w:rPr>
              <w:drawing>
                <wp:inline distT="0" distB="0" distL="0" distR="0" wp14:anchorId="4F3D580D" wp14:editId="7F67D890">
                  <wp:extent cx="2903395" cy="4320000"/>
                  <wp:effectExtent l="0" t="0" r="11430" b="4445"/>
                  <wp:docPr id="13" name="Chart 13" descr="Graph: Total population - 2018 by age group and gender. Graph described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513" w:type="dxa"/>
            <w:tcBorders>
              <w:top w:val="nil"/>
              <w:left w:val="nil"/>
              <w:bottom w:val="nil"/>
              <w:right w:val="nil"/>
            </w:tcBorders>
          </w:tcPr>
          <w:p w14:paraId="63E8CDFD" w14:textId="0DC667DF" w:rsidR="00821DD2" w:rsidRDefault="005D18BF" w:rsidP="008F03DF">
            <w:pPr>
              <w:spacing w:before="120" w:after="120" w:line="240" w:lineRule="atLeast"/>
              <w:rPr>
                <w:rFonts w:ascii="Arial" w:hAnsi="Arial" w:cs="Arial"/>
                <w:noProof/>
                <w:sz w:val="24"/>
                <w:szCs w:val="24"/>
                <w:lang w:eastAsia="en-NZ"/>
              </w:rPr>
            </w:pPr>
            <w:r>
              <w:rPr>
                <w:noProof/>
                <w:lang w:eastAsia="en-NZ"/>
              </w:rPr>
              <w:drawing>
                <wp:inline distT="0" distB="0" distL="0" distR="0" wp14:anchorId="0F8B7E67" wp14:editId="757CE538">
                  <wp:extent cx="2905200" cy="4320000"/>
                  <wp:effectExtent l="0" t="0" r="9525" b="4445"/>
                  <wp:docPr id="1" name="Chart 1" descr="Graph: Total population - 2028 by age group and gender. Graph described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4B6ECF3F" w14:textId="77777777" w:rsidR="002337DE" w:rsidRPr="00E423CF" w:rsidRDefault="002337DE" w:rsidP="008F03DF">
      <w:pPr>
        <w:pStyle w:val="Caption"/>
        <w:spacing w:before="120" w:after="120" w:line="240" w:lineRule="atLeast"/>
        <w:rPr>
          <w:rFonts w:ascii="Arial" w:hAnsi="Arial" w:cs="Arial"/>
          <w:i w:val="0"/>
          <w:color w:val="auto"/>
          <w:sz w:val="24"/>
          <w:szCs w:val="24"/>
        </w:rPr>
      </w:pPr>
      <w:r w:rsidRPr="00E423CF">
        <w:rPr>
          <w:rFonts w:ascii="Arial" w:hAnsi="Arial" w:cs="Arial"/>
          <w:i w:val="0"/>
          <w:color w:val="auto"/>
        </w:rPr>
        <w:t xml:space="preserve">Source: </w:t>
      </w:r>
      <w:proofErr w:type="spellStart"/>
      <w:r>
        <w:rPr>
          <w:rFonts w:ascii="Arial" w:hAnsi="Arial" w:cs="Arial"/>
          <w:i w:val="0"/>
          <w:color w:val="auto"/>
        </w:rPr>
        <w:t>StatsNZ</w:t>
      </w:r>
      <w:proofErr w:type="spellEnd"/>
    </w:p>
    <w:p w14:paraId="751186B7" w14:textId="77777777" w:rsidR="00EB25A1" w:rsidRDefault="00EB25A1" w:rsidP="008F03DF">
      <w:pPr>
        <w:spacing w:before="120" w:after="120" w:line="240" w:lineRule="atLeast"/>
        <w:rPr>
          <w:rFonts w:ascii="Arial" w:hAnsi="Arial" w:cs="Arial"/>
          <w:noProof/>
          <w:sz w:val="24"/>
          <w:szCs w:val="24"/>
          <w:lang w:eastAsia="en-NZ"/>
        </w:rPr>
      </w:pPr>
    </w:p>
    <w:tbl>
      <w:tblPr>
        <w:tblStyle w:val="TableGrid"/>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6"/>
      </w:tblGrid>
      <w:tr w:rsidR="00821DD2" w14:paraId="2DD7584F" w14:textId="77777777" w:rsidTr="004C0AFC">
        <w:trPr>
          <w:trHeight w:val="14317"/>
        </w:trPr>
        <w:tc>
          <w:tcPr>
            <w:tcW w:w="4806" w:type="dxa"/>
          </w:tcPr>
          <w:p w14:paraId="3C6A0AB9" w14:textId="479EDBA3" w:rsidR="00821DD2" w:rsidRDefault="004C0AFC" w:rsidP="008F03DF">
            <w:pPr>
              <w:spacing w:before="120" w:after="120" w:line="240" w:lineRule="atLeast"/>
              <w:rPr>
                <w:rFonts w:ascii="Arial" w:hAnsi="Arial" w:cs="Arial"/>
                <w:noProof/>
                <w:sz w:val="24"/>
                <w:szCs w:val="24"/>
                <w:lang w:eastAsia="en-NZ"/>
              </w:rPr>
            </w:pPr>
            <w:r w:rsidRPr="004C0AFC">
              <w:rPr>
                <w:rFonts w:ascii="Arial" w:hAnsi="Arial" w:cs="Arial"/>
                <w:noProof/>
                <w:sz w:val="24"/>
                <w:szCs w:val="24"/>
                <w:lang w:eastAsia="en-NZ"/>
              </w:rPr>
              <w:lastRenderedPageBreak/>
              <mc:AlternateContent>
                <mc:Choice Requires="wps">
                  <w:drawing>
                    <wp:anchor distT="45720" distB="45720" distL="114300" distR="114300" simplePos="0" relativeHeight="251661312" behindDoc="0" locked="0" layoutInCell="1" allowOverlap="1" wp14:anchorId="08665B48" wp14:editId="0558B922">
                      <wp:simplePos x="0" y="0"/>
                      <wp:positionH relativeFrom="column">
                        <wp:posOffset>-68580</wp:posOffset>
                      </wp:positionH>
                      <wp:positionV relativeFrom="paragraph">
                        <wp:posOffset>8464550</wp:posOffset>
                      </wp:positionV>
                      <wp:extent cx="2360930" cy="3702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70205"/>
                              </a:xfrm>
                              <a:prstGeom prst="rect">
                                <a:avLst/>
                              </a:prstGeom>
                              <a:noFill/>
                              <a:ln w="9525">
                                <a:noFill/>
                                <a:miter lim="800000"/>
                                <a:headEnd/>
                                <a:tailEnd/>
                              </a:ln>
                            </wps:spPr>
                            <wps:txbx>
                              <w:txbxContent>
                                <w:p w14:paraId="247BD641" w14:textId="6E54F1C4" w:rsidR="00767283" w:rsidRPr="004C0AFC" w:rsidRDefault="00767283">
                                  <w:pPr>
                                    <w:rPr>
                                      <w:rFonts w:ascii="Arial" w:hAnsi="Arial" w:cs="Arial"/>
                                      <w:sz w:val="18"/>
                                      <w:szCs w:val="18"/>
                                    </w:rPr>
                                  </w:pPr>
                                  <w:r w:rsidRPr="004C0AFC">
                                    <w:rPr>
                                      <w:rFonts w:ascii="Arial" w:hAnsi="Arial" w:cs="Arial"/>
                                      <w:sz w:val="18"/>
                                      <w:szCs w:val="18"/>
                                    </w:rPr>
                                    <w:t xml:space="preserve">Source: </w:t>
                                  </w:r>
                                  <w:proofErr w:type="spellStart"/>
                                  <w:r w:rsidRPr="004C0AFC">
                                    <w:rPr>
                                      <w:rFonts w:ascii="Arial" w:hAnsi="Arial" w:cs="Arial"/>
                                      <w:sz w:val="18"/>
                                      <w:szCs w:val="18"/>
                                    </w:rPr>
                                    <w:t>StatsNZ</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8665B48" id="_x0000_t202" coordsize="21600,21600" o:spt="202" path="m,l,21600r21600,l21600,xe">
                      <v:stroke joinstyle="miter"/>
                      <v:path gradientshapeok="t" o:connecttype="rect"/>
                    </v:shapetype>
                    <v:shape id="Text Box 2" o:spid="_x0000_s1026" type="#_x0000_t202" style="position:absolute;margin-left:-5.4pt;margin-top:666.5pt;width:185.9pt;height:29.1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" filled="f" stroked="f">
                      <v:textbox>
                        <w:txbxContent>
                          <w:p w14:paraId="247BD641" w14:textId="6E54F1C4" w:rsidR="00767283" w:rsidRPr="004C0AFC" w:rsidRDefault="00767283">
                            <w:pPr>
                              <w:rPr>
                                <w:rFonts w:ascii="Arial" w:hAnsi="Arial" w:cs="Arial"/>
                                <w:sz w:val="18"/>
                                <w:szCs w:val="18"/>
                              </w:rPr>
                            </w:pPr>
                            <w:r w:rsidRPr="004C0AFC">
                              <w:rPr>
                                <w:rFonts w:ascii="Arial" w:hAnsi="Arial" w:cs="Arial"/>
                                <w:sz w:val="18"/>
                                <w:szCs w:val="18"/>
                              </w:rPr>
                              <w:t xml:space="preserve">Source: </w:t>
                            </w:r>
                            <w:proofErr w:type="spellStart"/>
                            <w:r w:rsidRPr="004C0AFC">
                              <w:rPr>
                                <w:rFonts w:ascii="Arial" w:hAnsi="Arial" w:cs="Arial"/>
                                <w:sz w:val="18"/>
                                <w:szCs w:val="18"/>
                              </w:rPr>
                              <w:t>StatsNZ</w:t>
                            </w:r>
                            <w:proofErr w:type="spellEnd"/>
                          </w:p>
                        </w:txbxContent>
                      </v:textbox>
                      <w10:wrap type="square"/>
                    </v:shape>
                  </w:pict>
                </mc:Fallback>
              </mc:AlternateContent>
            </w:r>
            <w:r>
              <w:rPr>
                <w:noProof/>
                <w:lang w:eastAsia="en-NZ"/>
              </w:rPr>
              <w:drawing>
                <wp:anchor distT="0" distB="0" distL="114300" distR="114300" simplePos="0" relativeHeight="251658240" behindDoc="0" locked="0" layoutInCell="1" allowOverlap="1" wp14:anchorId="3F80922E" wp14:editId="67E89AB9">
                  <wp:simplePos x="0" y="0"/>
                  <wp:positionH relativeFrom="margin">
                    <wp:posOffset>-68580</wp:posOffset>
                  </wp:positionH>
                  <wp:positionV relativeFrom="paragraph">
                    <wp:posOffset>4281805</wp:posOffset>
                  </wp:positionV>
                  <wp:extent cx="2905125" cy="4073525"/>
                  <wp:effectExtent l="0" t="0" r="9525" b="3175"/>
                  <wp:wrapSquare wrapText="bothSides"/>
                  <wp:docPr id="19" name="Chart 19" descr="Graph: Pacific population - 2018 by age group and gender. Graph described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821DD2">
              <w:rPr>
                <w:noProof/>
                <w:lang w:eastAsia="en-NZ"/>
              </w:rPr>
              <w:drawing>
                <wp:inline distT="0" distB="0" distL="0" distR="0" wp14:anchorId="1B3D7604" wp14:editId="03032010">
                  <wp:extent cx="2860895" cy="4028792"/>
                  <wp:effectExtent l="0" t="0" r="15875" b="10160"/>
                  <wp:docPr id="18" name="Chart 18" descr="Graph: Māori population - 2018 by age group and gender. Graph described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836" w:type="dxa"/>
          </w:tcPr>
          <w:p w14:paraId="4B2A38F1" w14:textId="4A8C14CF" w:rsidR="00821DD2" w:rsidRDefault="004C0AFC" w:rsidP="008F03DF">
            <w:pPr>
              <w:spacing w:before="120" w:after="120" w:line="240" w:lineRule="atLeast"/>
              <w:rPr>
                <w:rFonts w:ascii="Arial" w:hAnsi="Arial" w:cs="Arial"/>
                <w:noProof/>
                <w:sz w:val="24"/>
                <w:szCs w:val="24"/>
                <w:lang w:eastAsia="en-NZ"/>
              </w:rPr>
            </w:pPr>
            <w:r>
              <w:rPr>
                <w:noProof/>
                <w:lang w:eastAsia="en-NZ"/>
              </w:rPr>
              <w:drawing>
                <wp:anchor distT="0" distB="0" distL="114300" distR="114300" simplePos="0" relativeHeight="251659264" behindDoc="0" locked="0" layoutInCell="1" allowOverlap="1" wp14:anchorId="3EF51B1F" wp14:editId="6EE205F1">
                  <wp:simplePos x="0" y="0"/>
                  <wp:positionH relativeFrom="column">
                    <wp:posOffset>-60325</wp:posOffset>
                  </wp:positionH>
                  <wp:positionV relativeFrom="paragraph">
                    <wp:posOffset>4300220</wp:posOffset>
                  </wp:positionV>
                  <wp:extent cx="2933065" cy="4055110"/>
                  <wp:effectExtent l="0" t="0" r="635" b="2540"/>
                  <wp:wrapSquare wrapText="bothSides"/>
                  <wp:docPr id="20" name="Chart 20" descr="Graph: Pacific population - 2028 by age group and gender. Graph described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821DD2">
              <w:rPr>
                <w:noProof/>
                <w:lang w:eastAsia="en-NZ"/>
              </w:rPr>
              <w:drawing>
                <wp:inline distT="0" distB="0" distL="0" distR="0" wp14:anchorId="386CFE73" wp14:editId="458C20D1">
                  <wp:extent cx="2860895" cy="3983524"/>
                  <wp:effectExtent l="0" t="0" r="15875" b="17145"/>
                  <wp:docPr id="2" name="Chart 2" descr="Graph: Māori population - 2020 by age group and gender. Graph described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2862EE76" w14:textId="65B40E8B" w:rsidR="00D86667" w:rsidRDefault="00D86667"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767283">
        <w:rPr>
          <w:rFonts w:ascii="Arial" w:hAnsi="Arial" w:cs="Arial"/>
          <w:b/>
          <w:sz w:val="24"/>
          <w:szCs w:val="24"/>
        </w:rPr>
        <w:lastRenderedPageBreak/>
        <w:t xml:space="preserve">Annex </w:t>
      </w:r>
      <w:r w:rsidR="004918C1" w:rsidRPr="00767283">
        <w:rPr>
          <w:rFonts w:ascii="Arial" w:hAnsi="Arial" w:cs="Arial"/>
          <w:b/>
          <w:sz w:val="24"/>
          <w:szCs w:val="24"/>
        </w:rPr>
        <w:t>Two</w:t>
      </w:r>
      <w:r w:rsidR="004918C1" w:rsidRPr="00AF6E4F">
        <w:rPr>
          <w:rFonts w:ascii="Arial" w:hAnsi="Arial" w:cs="Arial"/>
          <w:sz w:val="24"/>
          <w:szCs w:val="24"/>
        </w:rPr>
        <w:t xml:space="preserve"> </w:t>
      </w:r>
      <w:r w:rsidRPr="00AF6E4F">
        <w:rPr>
          <w:rFonts w:ascii="Arial" w:hAnsi="Arial" w:cs="Arial"/>
          <w:sz w:val="24"/>
          <w:szCs w:val="24"/>
        </w:rPr>
        <w:t>shows population projections by ethnicity and region. We are expecting continued growth in urban areas and particularly the upper North Island).</w:t>
      </w:r>
      <w:r w:rsidR="006B6E99">
        <w:rPr>
          <w:rFonts w:ascii="Arial" w:hAnsi="Arial" w:cs="Arial"/>
          <w:sz w:val="24"/>
          <w:szCs w:val="24"/>
        </w:rPr>
        <w:t xml:space="preserve"> I</w:t>
      </w:r>
      <w:r w:rsidR="006B6E99" w:rsidRPr="00AF6E4F">
        <w:rPr>
          <w:rFonts w:ascii="Arial" w:hAnsi="Arial" w:cs="Arial"/>
          <w:sz w:val="24"/>
          <w:szCs w:val="24"/>
        </w:rPr>
        <w:t>n future</w:t>
      </w:r>
      <w:r w:rsidR="006B6E99">
        <w:rPr>
          <w:rFonts w:ascii="Arial" w:hAnsi="Arial" w:cs="Arial"/>
          <w:sz w:val="24"/>
          <w:szCs w:val="24"/>
        </w:rPr>
        <w:t>,</w:t>
      </w:r>
      <w:r w:rsidRPr="00AF6E4F">
        <w:rPr>
          <w:rFonts w:ascii="Arial" w:hAnsi="Arial" w:cs="Arial"/>
          <w:sz w:val="24"/>
          <w:szCs w:val="24"/>
        </w:rPr>
        <w:t xml:space="preserve"> </w:t>
      </w:r>
      <w:r w:rsidR="00D20BC2">
        <w:rPr>
          <w:rFonts w:ascii="Arial" w:hAnsi="Arial" w:cs="Arial"/>
          <w:sz w:val="24"/>
          <w:szCs w:val="24"/>
        </w:rPr>
        <w:t xml:space="preserve">young people will be increasingly </w:t>
      </w:r>
      <w:r w:rsidR="005D18BF">
        <w:rPr>
          <w:rFonts w:ascii="Arial" w:hAnsi="Arial" w:cs="Arial"/>
          <w:sz w:val="24"/>
          <w:szCs w:val="24"/>
        </w:rPr>
        <w:t>concentrated</w:t>
      </w:r>
      <w:r w:rsidR="00D20BC2">
        <w:rPr>
          <w:rFonts w:ascii="Arial" w:hAnsi="Arial" w:cs="Arial"/>
          <w:sz w:val="24"/>
          <w:szCs w:val="24"/>
        </w:rPr>
        <w:t xml:space="preserve"> in these areas</w:t>
      </w:r>
      <w:r w:rsidRPr="00AF6E4F">
        <w:rPr>
          <w:rFonts w:ascii="Arial" w:hAnsi="Arial" w:cs="Arial"/>
          <w:sz w:val="24"/>
          <w:szCs w:val="24"/>
        </w:rPr>
        <w:t>.</w:t>
      </w:r>
    </w:p>
    <w:p w14:paraId="7662E441" w14:textId="77777777" w:rsidR="00D86667" w:rsidRPr="00293360" w:rsidRDefault="00BB0AF3" w:rsidP="008F03DF">
      <w:pPr>
        <w:pStyle w:val="Heading3"/>
        <w:spacing w:before="120" w:after="120" w:line="240" w:lineRule="atLeast"/>
        <w:rPr>
          <w:color w:val="365F91" w:themeColor="accent1" w:themeShade="BF"/>
        </w:rPr>
      </w:pPr>
      <w:r w:rsidRPr="00293360">
        <w:rPr>
          <w:color w:val="365F91" w:themeColor="accent1" w:themeShade="BF"/>
        </w:rPr>
        <w:t>Industry trends</w:t>
      </w:r>
    </w:p>
    <w:p w14:paraId="4ADB8514" w14:textId="7D030247" w:rsidR="00BD1C80" w:rsidRPr="00AF6E4F" w:rsidRDefault="00BD1C80"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AF6E4F">
        <w:rPr>
          <w:rFonts w:ascii="Arial" w:hAnsi="Arial" w:cs="Arial"/>
          <w:sz w:val="24"/>
          <w:szCs w:val="24"/>
        </w:rPr>
        <w:t>Different sectors and regions were in different positions prior to the COVID-19 recession and both their immediate and long-term needs</w:t>
      </w:r>
      <w:r w:rsidR="0043679A">
        <w:rPr>
          <w:rFonts w:ascii="Arial" w:hAnsi="Arial" w:cs="Arial"/>
          <w:sz w:val="24"/>
          <w:szCs w:val="24"/>
        </w:rPr>
        <w:t xml:space="preserve"> will differ</w:t>
      </w:r>
      <w:r w:rsidRPr="00AF6E4F">
        <w:rPr>
          <w:rFonts w:ascii="Arial" w:hAnsi="Arial" w:cs="Arial"/>
          <w:sz w:val="24"/>
          <w:szCs w:val="24"/>
        </w:rPr>
        <w:t>. Within the same sector or region, we may see both skill demand contraction and over-supply in some industries, as well as skills demand expansion and difficulty accessing skills and labour in others.</w:t>
      </w:r>
      <w:r w:rsidR="00074466">
        <w:rPr>
          <w:rFonts w:ascii="Arial" w:hAnsi="Arial" w:cs="Arial"/>
          <w:sz w:val="24"/>
          <w:szCs w:val="24"/>
        </w:rPr>
        <w:t xml:space="preserve"> This will have implications for the types of jobs available in future, their skills requirements and where they are located.</w:t>
      </w:r>
    </w:p>
    <w:p w14:paraId="5C10E56E" w14:textId="09EADA60" w:rsidR="00BD1C80" w:rsidRPr="00AF6E4F" w:rsidRDefault="002337DE" w:rsidP="008F03DF">
      <w:pPr>
        <w:spacing w:before="120" w:after="120" w:line="240" w:lineRule="atLeast"/>
        <w:jc w:val="center"/>
      </w:pPr>
      <w:r w:rsidRPr="002337DE">
        <w:rPr>
          <w:noProof/>
          <w:lang w:eastAsia="en-NZ"/>
        </w:rPr>
        <w:t xml:space="preserve"> </w:t>
      </w:r>
      <w:r>
        <w:rPr>
          <w:noProof/>
          <w:lang w:eastAsia="en-NZ"/>
        </w:rPr>
        <w:drawing>
          <wp:inline distT="0" distB="0" distL="0" distR="0" wp14:anchorId="2C964B5D" wp14:editId="7C104444">
            <wp:extent cx="5731510" cy="4009390"/>
            <wp:effectExtent l="0" t="0" r="2540" b="0"/>
            <wp:docPr id="4" name="Picture 4" descr="Graph of filled jobs by industry. The highest number of filled jobs are in health care and social assistance, manufacturing, and retail trade. The highest positive annual change was to electricity, gas, water and waste services, construction, and public administration and safety industries. The highest negative annual change was to transport, postal and warehousing, mining, and administrative and support services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of filled jobs by industry. The highest number of filled jobs are in health care and social assistance, manufacturing, and retail trade. The highest positive annual change was to electricity, gas, water and waste services, construction, and public administration and safety industries. The highest negative annual change was to transport, postal and warehousing, mining, and administrative and support services industries."/>
                    <pic:cNvPicPr/>
                  </pic:nvPicPr>
                  <pic:blipFill>
                    <a:blip r:embed="rId40"/>
                    <a:stretch>
                      <a:fillRect/>
                    </a:stretch>
                  </pic:blipFill>
                  <pic:spPr>
                    <a:xfrm>
                      <a:off x="0" y="0"/>
                      <a:ext cx="5731510" cy="4009390"/>
                    </a:xfrm>
                    <a:prstGeom prst="rect">
                      <a:avLst/>
                    </a:prstGeom>
                  </pic:spPr>
                </pic:pic>
              </a:graphicData>
            </a:graphic>
          </wp:inline>
        </w:drawing>
      </w:r>
    </w:p>
    <w:p w14:paraId="0F3E841B" w14:textId="311E6111" w:rsidR="00BD1C80" w:rsidRPr="00AF6E4F" w:rsidRDefault="00BD1C80" w:rsidP="008F03DF">
      <w:pPr>
        <w:spacing w:before="120" w:after="120" w:line="240" w:lineRule="atLeast"/>
        <w:jc w:val="center"/>
        <w:rPr>
          <w:rFonts w:ascii="Arial" w:hAnsi="Arial" w:cs="Arial"/>
          <w:sz w:val="24"/>
          <w:szCs w:val="24"/>
        </w:rPr>
      </w:pPr>
      <w:r w:rsidRPr="00AF6E4F">
        <w:rPr>
          <w:rFonts w:ascii="Arial" w:hAnsi="Arial" w:cs="Arial"/>
          <w:noProof/>
          <w:sz w:val="24"/>
          <w:szCs w:val="24"/>
          <w:lang w:eastAsia="en-NZ"/>
        </w:rPr>
        <w:lastRenderedPageBreak/>
        <w:t xml:space="preserve"> </w:t>
      </w:r>
      <w:r w:rsidR="002337DE" w:rsidRPr="002337DE">
        <w:rPr>
          <w:noProof/>
          <w:lang w:eastAsia="en-NZ"/>
        </w:rPr>
        <w:t xml:space="preserve"> </w:t>
      </w:r>
      <w:r w:rsidR="002337DE">
        <w:rPr>
          <w:noProof/>
          <w:lang w:eastAsia="en-NZ"/>
        </w:rPr>
        <w:drawing>
          <wp:inline distT="0" distB="0" distL="0" distR="0" wp14:anchorId="0F83FC92" wp14:editId="103B8DB5">
            <wp:extent cx="5731510" cy="3613785"/>
            <wp:effectExtent l="0" t="0" r="2540" b="5715"/>
            <wp:docPr id="6" name="Picture 6" descr="Graph showing the number of filled jobs by region. Auckland had a significantly high number of filled jobs compared to other regions. The largest positive annual changes to filled jobs were in Gisborne, Bay of Plenty, Waikato and Manawatū-Whanganui. The highest neg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 showing the number of filled jobs by region. Auckland had a significantly high number of filled jobs compared to other regions. The largest positive annual changes to filled jobs were in Gisborne, Bay of Plenty, Waikato and Manawatū-Whanganui. The highest negative "/>
                    <pic:cNvPicPr/>
                  </pic:nvPicPr>
                  <pic:blipFill>
                    <a:blip r:embed="rId41"/>
                    <a:stretch>
                      <a:fillRect/>
                    </a:stretch>
                  </pic:blipFill>
                  <pic:spPr>
                    <a:xfrm>
                      <a:off x="0" y="0"/>
                      <a:ext cx="5731510" cy="3613785"/>
                    </a:xfrm>
                    <a:prstGeom prst="rect">
                      <a:avLst/>
                    </a:prstGeom>
                  </pic:spPr>
                </pic:pic>
              </a:graphicData>
            </a:graphic>
          </wp:inline>
        </w:drawing>
      </w:r>
    </w:p>
    <w:p w14:paraId="6C5EBCCC" w14:textId="77777777" w:rsidR="00BD1C80" w:rsidRPr="00AF6E4F" w:rsidRDefault="00BD1C80"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AF6E4F">
        <w:rPr>
          <w:rFonts w:ascii="Arial" w:hAnsi="Arial" w:cs="Arial"/>
          <w:sz w:val="24"/>
          <w:szCs w:val="24"/>
        </w:rPr>
        <w:t>In the longer-term, industry composition is expected to change:</w:t>
      </w:r>
    </w:p>
    <w:p w14:paraId="097DD8C5" w14:textId="4577C3F8" w:rsidR="00BD1C80" w:rsidRPr="00AF6E4F" w:rsidRDefault="002337DE" w:rsidP="00CD315B">
      <w:pPr>
        <w:pStyle w:val="ListParagraph"/>
        <w:numPr>
          <w:ilvl w:val="1"/>
          <w:numId w:val="39"/>
        </w:numPr>
        <w:spacing w:before="120" w:after="120" w:line="240" w:lineRule="atLeast"/>
        <w:ind w:left="992" w:hanging="425"/>
        <w:contextualSpacing w:val="0"/>
        <w:rPr>
          <w:rFonts w:ascii="Arial" w:hAnsi="Arial" w:cs="Arial"/>
          <w:sz w:val="24"/>
          <w:szCs w:val="24"/>
        </w:rPr>
      </w:pPr>
      <w:r>
        <w:rPr>
          <w:rFonts w:ascii="Arial" w:hAnsi="Arial" w:cs="Arial"/>
          <w:sz w:val="24"/>
          <w:szCs w:val="24"/>
        </w:rPr>
        <w:t>Government intent is to drive</w:t>
      </w:r>
      <w:r w:rsidR="00C554CE" w:rsidRPr="00AF6E4F">
        <w:rPr>
          <w:rFonts w:ascii="Arial" w:hAnsi="Arial" w:cs="Arial"/>
          <w:sz w:val="24"/>
          <w:szCs w:val="24"/>
        </w:rPr>
        <w:t xml:space="preserve"> </w:t>
      </w:r>
      <w:r w:rsidR="00BD1C80" w:rsidRPr="00AF6E4F">
        <w:rPr>
          <w:rFonts w:ascii="Arial" w:hAnsi="Arial" w:cs="Arial"/>
          <w:sz w:val="24"/>
          <w:szCs w:val="24"/>
        </w:rPr>
        <w:t>volume to value-based industries</w:t>
      </w:r>
      <w:r>
        <w:rPr>
          <w:rFonts w:ascii="Arial" w:hAnsi="Arial" w:cs="Arial"/>
          <w:sz w:val="24"/>
          <w:szCs w:val="24"/>
        </w:rPr>
        <w:t xml:space="preserve">, including </w:t>
      </w:r>
      <w:r w:rsidR="00BD1C80" w:rsidRPr="00AF6E4F">
        <w:rPr>
          <w:rFonts w:ascii="Arial" w:hAnsi="Arial" w:cs="Arial"/>
          <w:sz w:val="24"/>
          <w:szCs w:val="24"/>
        </w:rPr>
        <w:t xml:space="preserve">raw primary sector/extraction to higher value chain such as </w:t>
      </w:r>
      <w:proofErr w:type="spellStart"/>
      <w:r w:rsidR="00BD1C80" w:rsidRPr="00AF6E4F">
        <w:rPr>
          <w:rFonts w:ascii="Arial" w:hAnsi="Arial" w:cs="Arial"/>
          <w:sz w:val="24"/>
          <w:szCs w:val="24"/>
        </w:rPr>
        <w:t>agritech</w:t>
      </w:r>
      <w:proofErr w:type="spellEnd"/>
      <w:r w:rsidR="00BD1C80" w:rsidRPr="00AF6E4F">
        <w:rPr>
          <w:rFonts w:ascii="Arial" w:hAnsi="Arial" w:cs="Arial"/>
          <w:sz w:val="24"/>
          <w:szCs w:val="24"/>
        </w:rPr>
        <w:t xml:space="preserve"> and food and beverage manufacturing</w:t>
      </w:r>
    </w:p>
    <w:p w14:paraId="3BF1BE61" w14:textId="1EA5DB9C" w:rsidR="00BD1C80" w:rsidRPr="00AF6E4F" w:rsidRDefault="00C554CE" w:rsidP="00CD315B">
      <w:pPr>
        <w:pStyle w:val="ListParagraph"/>
        <w:numPr>
          <w:ilvl w:val="1"/>
          <w:numId w:val="39"/>
        </w:numPr>
        <w:spacing w:before="120" w:after="120" w:line="240" w:lineRule="atLeast"/>
        <w:ind w:left="992" w:hanging="425"/>
        <w:contextualSpacing w:val="0"/>
        <w:rPr>
          <w:rFonts w:ascii="Arial" w:hAnsi="Arial" w:cs="Arial"/>
          <w:sz w:val="24"/>
          <w:szCs w:val="24"/>
        </w:rPr>
      </w:pPr>
      <w:r>
        <w:rPr>
          <w:rFonts w:ascii="Arial" w:hAnsi="Arial" w:cs="Arial"/>
          <w:sz w:val="24"/>
          <w:szCs w:val="24"/>
        </w:rPr>
        <w:t>I</w:t>
      </w:r>
      <w:r w:rsidR="00BD1C80" w:rsidRPr="00AF6E4F">
        <w:rPr>
          <w:rFonts w:ascii="Arial" w:hAnsi="Arial" w:cs="Arial"/>
          <w:sz w:val="24"/>
          <w:szCs w:val="24"/>
        </w:rPr>
        <w:t xml:space="preserve">ncreased digital services and continuing demand for skills in this area </w:t>
      </w:r>
    </w:p>
    <w:p w14:paraId="44216DA6" w14:textId="77777777" w:rsidR="00BD1C80" w:rsidRPr="00AF6E4F" w:rsidRDefault="00BD1C80" w:rsidP="00CD315B">
      <w:pPr>
        <w:pStyle w:val="ListParagraph"/>
        <w:numPr>
          <w:ilvl w:val="1"/>
          <w:numId w:val="39"/>
        </w:numPr>
        <w:spacing w:before="120" w:after="120" w:line="240" w:lineRule="atLeast"/>
        <w:ind w:left="992" w:hanging="425"/>
        <w:contextualSpacing w:val="0"/>
        <w:rPr>
          <w:rFonts w:ascii="Arial" w:hAnsi="Arial" w:cs="Arial"/>
          <w:sz w:val="24"/>
          <w:szCs w:val="24"/>
        </w:rPr>
      </w:pPr>
      <w:r w:rsidRPr="00AF6E4F">
        <w:rPr>
          <w:rFonts w:ascii="Arial" w:hAnsi="Arial" w:cs="Arial"/>
          <w:sz w:val="24"/>
          <w:szCs w:val="24"/>
        </w:rPr>
        <w:t>An ongoing decline in manufacturing but also niche opportunities</w:t>
      </w:r>
    </w:p>
    <w:p w14:paraId="51784E0C" w14:textId="5BE6B355" w:rsidR="00BD1C80" w:rsidRPr="00AF6E4F" w:rsidRDefault="00BD1C80" w:rsidP="00CD315B">
      <w:pPr>
        <w:pStyle w:val="ListParagraph"/>
        <w:numPr>
          <w:ilvl w:val="1"/>
          <w:numId w:val="39"/>
        </w:numPr>
        <w:spacing w:before="120" w:after="120" w:line="240" w:lineRule="atLeast"/>
        <w:ind w:left="992" w:hanging="425"/>
        <w:contextualSpacing w:val="0"/>
        <w:rPr>
          <w:rFonts w:ascii="Arial" w:hAnsi="Arial" w:cs="Arial"/>
          <w:sz w:val="24"/>
          <w:szCs w:val="24"/>
        </w:rPr>
      </w:pPr>
      <w:r w:rsidRPr="00AF6E4F">
        <w:rPr>
          <w:rFonts w:ascii="Arial" w:hAnsi="Arial" w:cs="Arial"/>
          <w:sz w:val="24"/>
          <w:szCs w:val="24"/>
        </w:rPr>
        <w:t xml:space="preserve">Medium term positive outlook for </w:t>
      </w:r>
      <w:r w:rsidR="002337DE">
        <w:rPr>
          <w:rFonts w:ascii="Arial" w:hAnsi="Arial" w:cs="Arial"/>
          <w:sz w:val="24"/>
          <w:szCs w:val="24"/>
        </w:rPr>
        <w:t>some sectors such as</w:t>
      </w:r>
      <w:r w:rsidRPr="00AF6E4F">
        <w:rPr>
          <w:rFonts w:ascii="Arial" w:hAnsi="Arial" w:cs="Arial"/>
          <w:sz w:val="24"/>
          <w:szCs w:val="24"/>
        </w:rPr>
        <w:t xml:space="preserve"> construction.</w:t>
      </w:r>
    </w:p>
    <w:p w14:paraId="0F570CE9" w14:textId="77777777" w:rsidR="00BD1C80" w:rsidRPr="008B7D3C" w:rsidRDefault="008B7D3C"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8B7D3C">
        <w:rPr>
          <w:rFonts w:ascii="Arial" w:hAnsi="Arial" w:cs="Arial"/>
          <w:sz w:val="24"/>
          <w:szCs w:val="24"/>
        </w:rPr>
        <w:t>The figures below provide information on which industries currently have high proportions of young people. Young people are more likely to be employed in hospitality and retail compared to other age groups.</w:t>
      </w:r>
    </w:p>
    <w:p w14:paraId="1997055D" w14:textId="77777777" w:rsidR="008B7D3C" w:rsidRDefault="008B7D3C" w:rsidP="008F03DF">
      <w:pPr>
        <w:spacing w:before="120" w:after="120" w:line="240" w:lineRule="atLeast"/>
        <w:jc w:val="center"/>
        <w:rPr>
          <w:color w:val="1F497D"/>
        </w:rPr>
      </w:pPr>
      <w:r>
        <w:rPr>
          <w:noProof/>
          <w:lang w:eastAsia="en-NZ"/>
        </w:rPr>
        <w:lastRenderedPageBreak/>
        <w:drawing>
          <wp:inline distT="0" distB="0" distL="0" distR="0" wp14:anchorId="3F129A12" wp14:editId="622C1964">
            <wp:extent cx="4259372" cy="2930237"/>
            <wp:effectExtent l="0" t="0" r="8255" b="3810"/>
            <wp:docPr id="28" name="Picture 28" descr="Graph shows the proportion at which 15 to 24 year olds are employed in various industries. Young people are more likely to be employed in hospitality and retail compared to other age gro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 shows the proportion at which 15 to 24 year olds are employed in various industries. Young people are more likely to be employed in hospitality and retail compared to other age groups.&#10;"/>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4265702" cy="2934592"/>
                    </a:xfrm>
                    <a:prstGeom prst="rect">
                      <a:avLst/>
                    </a:prstGeom>
                    <a:noFill/>
                    <a:ln>
                      <a:noFill/>
                    </a:ln>
                  </pic:spPr>
                </pic:pic>
              </a:graphicData>
            </a:graphic>
          </wp:inline>
        </w:drawing>
      </w:r>
    </w:p>
    <w:p w14:paraId="51B57589" w14:textId="77777777" w:rsidR="00074466" w:rsidRDefault="008B7D3C" w:rsidP="008F03DF">
      <w:pPr>
        <w:keepNext/>
        <w:spacing w:before="120" w:after="120" w:line="240" w:lineRule="atLeast"/>
        <w:jc w:val="center"/>
      </w:pPr>
      <w:r>
        <w:rPr>
          <w:noProof/>
          <w:lang w:eastAsia="en-NZ"/>
        </w:rPr>
        <w:drawing>
          <wp:inline distT="0" distB="0" distL="0" distR="0" wp14:anchorId="648E6FA7" wp14:editId="211A7A14">
            <wp:extent cx="4164526" cy="2930236"/>
            <wp:effectExtent l="0" t="0" r="7620" b="3810"/>
            <wp:docPr id="50" name="Picture 50" descr="Graph shows the proportion at which 15 to 24 year olds are employed in various industries. Young people are more likely to be employed in hospitality and retail compared to other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 shows the proportion at which 15 to 24 year olds are employed in various industries. Young people are more likely to be employed in hospitality and retail compared to other age groups."/>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4186147" cy="2945449"/>
                    </a:xfrm>
                    <a:prstGeom prst="rect">
                      <a:avLst/>
                    </a:prstGeom>
                    <a:noFill/>
                    <a:ln>
                      <a:noFill/>
                    </a:ln>
                  </pic:spPr>
                </pic:pic>
              </a:graphicData>
            </a:graphic>
          </wp:inline>
        </w:drawing>
      </w:r>
    </w:p>
    <w:p w14:paraId="396ADDD0" w14:textId="77777777" w:rsidR="008B7D3C" w:rsidRPr="00710711" w:rsidRDefault="00074466" w:rsidP="008F03DF">
      <w:pPr>
        <w:pStyle w:val="Caption"/>
        <w:spacing w:before="120" w:after="120" w:line="240" w:lineRule="atLeast"/>
        <w:rPr>
          <w:rFonts w:ascii="Arial" w:hAnsi="Arial" w:cs="Arial"/>
          <w:color w:val="auto"/>
        </w:rPr>
      </w:pPr>
      <w:r w:rsidRPr="00710711">
        <w:rPr>
          <w:rFonts w:ascii="Arial" w:hAnsi="Arial" w:cs="Arial"/>
          <w:i w:val="0"/>
          <w:color w:val="auto"/>
        </w:rPr>
        <w:t xml:space="preserve">Source: </w:t>
      </w:r>
      <w:proofErr w:type="spellStart"/>
      <w:r w:rsidR="00321DDF">
        <w:rPr>
          <w:rFonts w:ascii="Arial" w:hAnsi="Arial" w:cs="Arial"/>
          <w:i w:val="0"/>
          <w:color w:val="auto"/>
        </w:rPr>
        <w:t>StatsNZ</w:t>
      </w:r>
      <w:proofErr w:type="spellEnd"/>
      <w:r w:rsidR="00321DDF">
        <w:rPr>
          <w:rFonts w:ascii="Arial" w:hAnsi="Arial" w:cs="Arial"/>
          <w:i w:val="0"/>
          <w:color w:val="auto"/>
        </w:rPr>
        <w:t xml:space="preserve"> </w:t>
      </w:r>
      <w:r w:rsidRPr="00710711">
        <w:rPr>
          <w:rFonts w:ascii="Arial" w:hAnsi="Arial" w:cs="Arial"/>
          <w:i w:val="0"/>
          <w:color w:val="auto"/>
        </w:rPr>
        <w:t>Linked Employer-Employee Data</w:t>
      </w:r>
    </w:p>
    <w:p w14:paraId="39CD7BAC" w14:textId="77777777" w:rsidR="00AF6E4F" w:rsidRPr="00B614E2" w:rsidRDefault="008C3428" w:rsidP="008F03DF">
      <w:pPr>
        <w:pStyle w:val="Heading3"/>
        <w:keepNext/>
        <w:spacing w:before="120" w:after="120" w:line="240" w:lineRule="atLeast"/>
        <w:rPr>
          <w:rFonts w:ascii="Calibri Light" w:hAnsi="Calibri Light" w:cs="Calibri Light"/>
          <w:color w:val="365F91" w:themeColor="accent1" w:themeShade="BF"/>
        </w:rPr>
      </w:pPr>
      <w:r w:rsidRPr="00B614E2">
        <w:rPr>
          <w:rFonts w:ascii="Calibri Light" w:hAnsi="Calibri Light" w:cs="Calibri Light"/>
          <w:color w:val="365F91" w:themeColor="accent1" w:themeShade="BF"/>
        </w:rPr>
        <w:t>Wider labour market trends</w:t>
      </w:r>
    </w:p>
    <w:p w14:paraId="1B0E3C72" w14:textId="77777777" w:rsidR="00AF6E4F" w:rsidRPr="00AF6E4F" w:rsidRDefault="00AF6E4F"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AF6E4F">
        <w:rPr>
          <w:rFonts w:ascii="Arial" w:hAnsi="Arial" w:cs="Arial"/>
          <w:sz w:val="24"/>
          <w:szCs w:val="24"/>
        </w:rPr>
        <w:t>The nature of work continues to change. The impacts of this change have not been evenly spread and are likely to continue to impact most significantly on those already disadvantaged in the labour market.</w:t>
      </w:r>
      <w:r w:rsidR="00074466">
        <w:rPr>
          <w:rFonts w:ascii="Arial" w:hAnsi="Arial" w:cs="Arial"/>
          <w:sz w:val="24"/>
          <w:szCs w:val="24"/>
        </w:rPr>
        <w:t xml:space="preserve"> As with industry changes, these trends are likely to affect the labour market</w:t>
      </w:r>
    </w:p>
    <w:p w14:paraId="0C31956B" w14:textId="77777777" w:rsidR="00AF6E4F" w:rsidRPr="00AF6E4F" w:rsidRDefault="00AF6E4F"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AF6E4F">
        <w:rPr>
          <w:rFonts w:ascii="Arial" w:hAnsi="Arial" w:cs="Arial"/>
          <w:sz w:val="24"/>
          <w:szCs w:val="24"/>
        </w:rPr>
        <w:t>Understanding trends affecting the future of work (FOW) has been the focus of research and policy work across both international and national agencies. In New Zealand, Government established a tripartite Future of Work forum to consider this. The Prime Minister’s Business Advisory Council also commissioned work on modelling the feasible impact of technology on New Zealand’s future economy and workforce.</w:t>
      </w:r>
      <w:r w:rsidR="005F6088" w:rsidRPr="00C5546F">
        <w:rPr>
          <w:vertAlign w:val="superscript"/>
        </w:rPr>
        <w:footnoteReference w:id="7"/>
      </w:r>
      <w:r w:rsidRPr="00AF6E4F">
        <w:rPr>
          <w:rFonts w:ascii="Arial" w:hAnsi="Arial" w:cs="Arial"/>
          <w:sz w:val="24"/>
          <w:szCs w:val="24"/>
        </w:rPr>
        <w:t xml:space="preserve"> This analysis suggested that FOW </w:t>
      </w:r>
      <w:r w:rsidRPr="00AF6E4F">
        <w:rPr>
          <w:rFonts w:ascii="Arial" w:hAnsi="Arial" w:cs="Arial"/>
          <w:sz w:val="24"/>
          <w:szCs w:val="24"/>
        </w:rPr>
        <w:lastRenderedPageBreak/>
        <w:t>trends, which are already happening, could increasingly shift the nature of work and workplaces and the potential trajectory of occupations and industries, both globally and in New Zealand. These major trends are</w:t>
      </w:r>
      <w:r w:rsidR="00BB0AF3">
        <w:rPr>
          <w:rFonts w:ascii="Arial" w:hAnsi="Arial" w:cs="Arial"/>
          <w:sz w:val="24"/>
          <w:szCs w:val="24"/>
        </w:rPr>
        <w:t xml:space="preserve"> summarised below.</w:t>
      </w:r>
    </w:p>
    <w:p w14:paraId="653DDF98" w14:textId="77777777" w:rsidR="00156869" w:rsidRPr="00854696" w:rsidRDefault="00AF6E4F"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854696">
        <w:rPr>
          <w:rFonts w:ascii="Arial" w:hAnsi="Arial" w:cs="Arial"/>
          <w:sz w:val="24"/>
          <w:szCs w:val="24"/>
        </w:rPr>
        <w:t>Technological change</w:t>
      </w:r>
      <w:r w:rsidRPr="00AF6E4F">
        <w:rPr>
          <w:rFonts w:ascii="Arial" w:hAnsi="Arial" w:cs="Arial"/>
          <w:sz w:val="24"/>
          <w:szCs w:val="24"/>
        </w:rPr>
        <w:t xml:space="preserve">: Technology brings about the possibility of automating or replacing some types of labour, while </w:t>
      </w:r>
      <w:proofErr w:type="gramStart"/>
      <w:r w:rsidRPr="00AF6E4F">
        <w:rPr>
          <w:rFonts w:ascii="Arial" w:hAnsi="Arial" w:cs="Arial"/>
          <w:sz w:val="24"/>
          <w:szCs w:val="24"/>
        </w:rPr>
        <w:t>opening up</w:t>
      </w:r>
      <w:proofErr w:type="gramEnd"/>
      <w:r w:rsidRPr="00AF6E4F">
        <w:rPr>
          <w:rFonts w:ascii="Arial" w:hAnsi="Arial" w:cs="Arial"/>
          <w:sz w:val="24"/>
          <w:szCs w:val="24"/>
        </w:rPr>
        <w:t xml:space="preserve"> new types of work with new skill requirements. Internationally, increasing technological and workplace change has increased the vulnerability of jobs to automation and the displacement of workers. Evidence suggests, to date, this trend is less evident in New Zealand. Analysis by the Productivity Commission suggests low rates of technological adoption and spread throughout the economy have in fact contributed to New Zealand’s relatively poor labour productivity by international standards. Basic technology literacy will be ever more important as a foundation for sustainable employment, and to avoid exacerbating the “digital divide” and labour market disadvantage. Access to technology by households will become increasingly vital for skills development and labour market participation.</w:t>
      </w:r>
    </w:p>
    <w:p w14:paraId="11B7AD21" w14:textId="77777777" w:rsidR="00AF6E4F" w:rsidRPr="00AF6E4F" w:rsidRDefault="00AF6E4F"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854696">
        <w:rPr>
          <w:rFonts w:ascii="Arial" w:hAnsi="Arial" w:cs="Arial"/>
          <w:sz w:val="24"/>
          <w:szCs w:val="24"/>
        </w:rPr>
        <w:t>Globalisation</w:t>
      </w:r>
      <w:r w:rsidRPr="00AF6E4F">
        <w:rPr>
          <w:rFonts w:ascii="Arial" w:hAnsi="Arial" w:cs="Arial"/>
          <w:sz w:val="24"/>
          <w:szCs w:val="24"/>
        </w:rPr>
        <w:t>: Greater flows of people, goods, finance and knowledge across national boundaries, and the institutions that support this. Diffusion of new technologies has allowed economies to become more tightly integrated. This encourages greater specialisation in what gets produced and how it is produced, with consequences for skill requirements and the type of jobs created. While global trade creates more jobs than it destroys, the costs and benefits of globalisation are not evenly distributed. COVID-19, however, has greatly disrupted the flow of people and goods globally and it is difficult to predict what longer term impacts this disruption will have on the economy and the local labour market.</w:t>
      </w:r>
    </w:p>
    <w:p w14:paraId="4E797579" w14:textId="77777777" w:rsidR="00AF6E4F" w:rsidRPr="00AF6E4F" w:rsidRDefault="00AF6E4F"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854696">
        <w:rPr>
          <w:rFonts w:ascii="Arial" w:hAnsi="Arial" w:cs="Arial"/>
          <w:sz w:val="24"/>
          <w:szCs w:val="24"/>
        </w:rPr>
        <w:t>Climate change and decarbonisation</w:t>
      </w:r>
      <w:r w:rsidRPr="00AF6E4F">
        <w:rPr>
          <w:rFonts w:ascii="Arial" w:hAnsi="Arial" w:cs="Arial"/>
          <w:sz w:val="24"/>
          <w:szCs w:val="24"/>
        </w:rPr>
        <w:t xml:space="preserve">: Both climate change and Government’s target to reduce carbon emissions to zero by 2050 will cause some sectors to decline in importance and others to grow. This will also have greater impact on </w:t>
      </w:r>
      <w:proofErr w:type="gramStart"/>
      <w:r w:rsidRPr="00AF6E4F">
        <w:rPr>
          <w:rFonts w:ascii="Arial" w:hAnsi="Arial" w:cs="Arial"/>
          <w:sz w:val="24"/>
          <w:szCs w:val="24"/>
        </w:rPr>
        <w:t>particular regions</w:t>
      </w:r>
      <w:proofErr w:type="gramEnd"/>
      <w:r w:rsidRPr="00AF6E4F">
        <w:rPr>
          <w:rFonts w:ascii="Arial" w:hAnsi="Arial" w:cs="Arial"/>
          <w:sz w:val="24"/>
          <w:szCs w:val="24"/>
        </w:rPr>
        <w:t xml:space="preserve">. The workforce profile of those sectors/regions with emissions-intensity varies considerably. While some are younger, low-paid with fewer qualifications; others are older, well-paid and may struggle to find equivalent jobs. </w:t>
      </w:r>
    </w:p>
    <w:p w14:paraId="249C7C6C" w14:textId="77777777" w:rsidR="00AF6E4F" w:rsidRPr="00AF6E4F" w:rsidRDefault="00AF6E4F"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854696">
        <w:rPr>
          <w:rFonts w:ascii="Arial" w:hAnsi="Arial" w:cs="Arial"/>
          <w:sz w:val="24"/>
          <w:szCs w:val="24"/>
        </w:rPr>
        <w:t>Demographic change</w:t>
      </w:r>
      <w:r w:rsidRPr="00AF6E4F">
        <w:rPr>
          <w:rFonts w:ascii="Arial" w:hAnsi="Arial" w:cs="Arial"/>
          <w:sz w:val="24"/>
          <w:szCs w:val="24"/>
        </w:rPr>
        <w:t>: New Zealand’s population is both ageing (like</w:t>
      </w:r>
      <w:r w:rsidR="00BB0AF3">
        <w:rPr>
          <w:rFonts w:ascii="Arial" w:hAnsi="Arial" w:cs="Arial"/>
          <w:sz w:val="24"/>
          <w:szCs w:val="24"/>
        </w:rPr>
        <w:t xml:space="preserve"> many countries in</w:t>
      </w:r>
      <w:r w:rsidRPr="00AF6E4F">
        <w:rPr>
          <w:rFonts w:ascii="Arial" w:hAnsi="Arial" w:cs="Arial"/>
          <w:sz w:val="24"/>
          <w:szCs w:val="24"/>
        </w:rPr>
        <w:t xml:space="preserve"> the OECD) and becoming more ethnically diverse. An ageing population may lead to shortages of qualified and skilled labour as retirement of older workers increases relative to the number of young people entering the labour market. The increasing proportion of Māori and of Pacific as a percentage of the population also means addressing equity in educational outcomes for Māori and Pacific learners is of urgent importance. Given the young age structure of the Māori and Pacific populations, there are significant benefits to be gained from improving outcomes for young Māori and Pacific peoples.</w:t>
      </w:r>
    </w:p>
    <w:p w14:paraId="225E106E" w14:textId="77777777" w:rsidR="00AF6E4F" w:rsidRPr="00AF6E4F" w:rsidRDefault="00AF6E4F" w:rsidP="00CD315B">
      <w:pPr>
        <w:pStyle w:val="ListParagraph"/>
        <w:numPr>
          <w:ilvl w:val="0"/>
          <w:numId w:val="39"/>
        </w:numPr>
        <w:spacing w:before="120" w:after="120" w:line="240" w:lineRule="atLeast"/>
        <w:ind w:left="567" w:hanging="567"/>
        <w:contextualSpacing w:val="0"/>
        <w:rPr>
          <w:rFonts w:ascii="Arial" w:hAnsi="Arial" w:cs="Arial"/>
          <w:sz w:val="24"/>
          <w:szCs w:val="24"/>
        </w:rPr>
      </w:pPr>
      <w:r w:rsidRPr="00AF6E4F">
        <w:rPr>
          <w:rFonts w:ascii="Arial" w:hAnsi="Arial" w:cs="Arial"/>
          <w:sz w:val="24"/>
          <w:szCs w:val="24"/>
        </w:rPr>
        <w:t xml:space="preserve">Each of these factors are already having and will continue to have direct and indirect effects on the New Zealand economy and the labour market. It is unclear what the exact impact of these long-term global trends will have on New Zealand, or how these trends may have been impacted by COVID-19 and responses to it. However, as technology and the economy change it is likely </w:t>
      </w:r>
      <w:r w:rsidRPr="00AF6E4F">
        <w:rPr>
          <w:rFonts w:ascii="Arial" w:hAnsi="Arial" w:cs="Arial"/>
          <w:sz w:val="24"/>
          <w:szCs w:val="24"/>
        </w:rPr>
        <w:lastRenderedPageBreak/>
        <w:t>emerging and new jobs will require higher levels of skills. Those in traditionally lower skilled jobs will be most vulnerable to job loss and displacement, which is likely to further exacerbate existing inequities in the labour market. In response to this, there is a need to focus on lifting skills for those in low-paid roles, so they are better prepared to adapt to a changing labour market.</w:t>
      </w:r>
    </w:p>
    <w:p w14:paraId="0DA91399" w14:textId="77777777" w:rsidR="00AF6E4F" w:rsidRPr="00B614E2" w:rsidRDefault="00AF6E4F" w:rsidP="008F03DF">
      <w:pPr>
        <w:pStyle w:val="Heading2"/>
        <w:spacing w:before="120" w:after="120" w:line="240" w:lineRule="atLeast"/>
        <w:rPr>
          <w:rFonts w:ascii="Calibri Light" w:hAnsi="Calibri Light" w:cs="Calibri Light"/>
          <w:color w:val="365F91" w:themeColor="accent1" w:themeShade="BF"/>
        </w:rPr>
      </w:pPr>
      <w:r w:rsidRPr="00B614E2">
        <w:rPr>
          <w:rFonts w:ascii="Calibri Light" w:hAnsi="Calibri Light" w:cs="Calibri Light"/>
          <w:color w:val="365F91" w:themeColor="accent1" w:themeShade="BF"/>
        </w:rPr>
        <w:t>Annexes</w:t>
      </w:r>
    </w:p>
    <w:p w14:paraId="78A81066" w14:textId="515997CC" w:rsidR="00AF6E4F" w:rsidRDefault="00AF6E4F" w:rsidP="008F03DF">
      <w:pPr>
        <w:pStyle w:val="ListParagraph"/>
        <w:numPr>
          <w:ilvl w:val="0"/>
          <w:numId w:val="34"/>
        </w:numPr>
        <w:spacing w:before="120" w:after="120" w:line="240" w:lineRule="atLeast"/>
        <w:contextualSpacing w:val="0"/>
        <w:rPr>
          <w:rFonts w:ascii="Arial" w:hAnsi="Arial" w:cs="Arial"/>
          <w:sz w:val="24"/>
          <w:szCs w:val="24"/>
        </w:rPr>
      </w:pPr>
      <w:r w:rsidRPr="00AF6E4F">
        <w:rPr>
          <w:rFonts w:ascii="Arial" w:hAnsi="Arial" w:cs="Arial"/>
          <w:sz w:val="24"/>
          <w:szCs w:val="24"/>
        </w:rPr>
        <w:t xml:space="preserve">Annex </w:t>
      </w:r>
      <w:r w:rsidR="004918C1">
        <w:rPr>
          <w:rFonts w:ascii="Arial" w:hAnsi="Arial" w:cs="Arial"/>
          <w:sz w:val="24"/>
          <w:szCs w:val="24"/>
        </w:rPr>
        <w:t>One</w:t>
      </w:r>
      <w:r w:rsidRPr="00AF6E4F">
        <w:rPr>
          <w:rFonts w:ascii="Arial" w:hAnsi="Arial" w:cs="Arial"/>
          <w:sz w:val="24"/>
          <w:szCs w:val="24"/>
        </w:rPr>
        <w:t>: Supporting labour market evidence</w:t>
      </w:r>
    </w:p>
    <w:p w14:paraId="63153778" w14:textId="18442E9C" w:rsidR="004918C1" w:rsidRPr="00710711" w:rsidRDefault="004918C1" w:rsidP="008F03DF">
      <w:pPr>
        <w:pStyle w:val="ListParagraph"/>
        <w:numPr>
          <w:ilvl w:val="0"/>
          <w:numId w:val="34"/>
        </w:numPr>
        <w:spacing w:before="120" w:after="120" w:line="240" w:lineRule="atLeast"/>
        <w:contextualSpacing w:val="0"/>
        <w:rPr>
          <w:rFonts w:ascii="Arial" w:hAnsi="Arial" w:cs="Arial"/>
          <w:sz w:val="24"/>
          <w:szCs w:val="24"/>
        </w:rPr>
      </w:pPr>
      <w:r w:rsidRPr="00AF6E4F">
        <w:rPr>
          <w:rFonts w:ascii="Arial" w:hAnsi="Arial" w:cs="Arial"/>
          <w:sz w:val="24"/>
          <w:szCs w:val="24"/>
        </w:rPr>
        <w:t xml:space="preserve">Annex </w:t>
      </w:r>
      <w:r>
        <w:rPr>
          <w:rFonts w:ascii="Arial" w:hAnsi="Arial" w:cs="Arial"/>
          <w:sz w:val="24"/>
          <w:szCs w:val="24"/>
        </w:rPr>
        <w:t>Two</w:t>
      </w:r>
      <w:r w:rsidRPr="00AF6E4F">
        <w:rPr>
          <w:rFonts w:ascii="Arial" w:hAnsi="Arial" w:cs="Arial"/>
          <w:sz w:val="24"/>
          <w:szCs w:val="24"/>
        </w:rPr>
        <w:t>: Regional population projections</w:t>
      </w:r>
    </w:p>
    <w:p w14:paraId="3FFDDD65" w14:textId="77777777" w:rsidR="00AF6E4F" w:rsidRPr="00AF6E4F" w:rsidRDefault="00AF6E4F" w:rsidP="008F03DF">
      <w:pPr>
        <w:spacing w:before="120" w:after="120" w:line="240" w:lineRule="atLeast"/>
        <w:rPr>
          <w:rFonts w:ascii="Arial" w:hAnsi="Arial" w:cs="Arial"/>
          <w:sz w:val="24"/>
          <w:szCs w:val="24"/>
        </w:rPr>
        <w:sectPr w:rsidR="00AF6E4F" w:rsidRPr="00AF6E4F" w:rsidSect="003B666F">
          <w:footerReference w:type="default" r:id="rId46"/>
          <w:headerReference w:type="first" r:id="rId47"/>
          <w:pgSz w:w="11906" w:h="16838"/>
          <w:pgMar w:top="1440" w:right="1440" w:bottom="1440" w:left="1440" w:header="708" w:footer="708" w:gutter="0"/>
          <w:cols w:space="708"/>
          <w:titlePg/>
          <w:docGrid w:linePitch="360"/>
        </w:sectPr>
      </w:pPr>
      <w:r w:rsidRPr="00AF6E4F">
        <w:rPr>
          <w:rFonts w:ascii="Arial" w:hAnsi="Arial" w:cs="Arial"/>
          <w:sz w:val="24"/>
          <w:szCs w:val="24"/>
        </w:rPr>
        <w:br w:type="page"/>
      </w:r>
    </w:p>
    <w:p w14:paraId="09234DA0" w14:textId="77777777" w:rsidR="004918C1" w:rsidRPr="00710711" w:rsidRDefault="004918C1" w:rsidP="008F03DF">
      <w:pPr>
        <w:pStyle w:val="Heading1"/>
        <w:spacing w:before="120" w:after="120" w:line="240" w:lineRule="atLeast"/>
        <w:rPr>
          <w:rFonts w:cstheme="minorHAnsi"/>
          <w:b w:val="0"/>
        </w:rPr>
      </w:pPr>
      <w:r w:rsidRPr="00710711">
        <w:rPr>
          <w:rFonts w:asciiTheme="minorHAnsi" w:hAnsiTheme="minorHAnsi" w:cstheme="minorHAnsi"/>
          <w:b w:val="0"/>
        </w:rPr>
        <w:lastRenderedPageBreak/>
        <w:t>Annex One: Supporting labour market evidence</w:t>
      </w:r>
    </w:p>
    <w:p w14:paraId="2A65B61D" w14:textId="77777777" w:rsidR="004918C1" w:rsidRPr="00AF6E4F" w:rsidRDefault="004918C1" w:rsidP="008F03DF">
      <w:pPr>
        <w:spacing w:before="120" w:after="120" w:line="240" w:lineRule="atLeast"/>
        <w:rPr>
          <w:rFonts w:ascii="Arial" w:hAnsi="Arial" w:cs="Arial"/>
          <w:sz w:val="24"/>
          <w:szCs w:val="24"/>
        </w:rPr>
      </w:pPr>
      <w:r w:rsidRPr="00AF6E4F">
        <w:rPr>
          <w:rFonts w:ascii="Arial" w:hAnsi="Arial" w:cs="Arial"/>
          <w:sz w:val="24"/>
          <w:szCs w:val="24"/>
        </w:rPr>
        <w:t>New Zealand’s past labour market performance</w:t>
      </w:r>
    </w:p>
    <w:p w14:paraId="1B0838D9" w14:textId="1C4BB892" w:rsidR="004918C1" w:rsidRPr="00AF6E4F" w:rsidRDefault="004918C1" w:rsidP="008F03DF">
      <w:pPr>
        <w:spacing w:before="120" w:after="120" w:line="240" w:lineRule="atLeast"/>
        <w:rPr>
          <w:rFonts w:ascii="Arial" w:hAnsi="Arial" w:cs="Arial"/>
          <w:sz w:val="24"/>
          <w:szCs w:val="24"/>
        </w:rPr>
      </w:pPr>
      <w:r w:rsidRPr="00AF6E4F">
        <w:rPr>
          <w:rFonts w:ascii="Arial" w:hAnsi="Arial" w:cs="Arial"/>
          <w:noProof/>
          <w:sz w:val="24"/>
          <w:szCs w:val="24"/>
          <w:lang w:eastAsia="en-NZ"/>
        </w:rPr>
        <w:drawing>
          <wp:inline distT="0" distB="0" distL="0" distR="0" wp14:anchorId="0543C462" wp14:editId="57215C4B">
            <wp:extent cx="4888865" cy="3193415"/>
            <wp:effectExtent l="0" t="0" r="6985" b="6985"/>
            <wp:docPr id="7" name="Picture 13" descr="Graph shows employment rates for those 15 years and older for OECD countries in 2019. New Zealand has one of the highest employment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descr="Graph shows employment rates for those 15 years and older for OECD countries in 2019. New Zealand has one of the highest employment rates."/>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88865" cy="3193415"/>
                    </a:xfrm>
                    <a:prstGeom prst="rect">
                      <a:avLst/>
                    </a:prstGeom>
                  </pic:spPr>
                </pic:pic>
              </a:graphicData>
            </a:graphic>
          </wp:inline>
        </w:drawing>
      </w:r>
    </w:p>
    <w:p w14:paraId="2579AD28" w14:textId="77777777" w:rsidR="004918C1" w:rsidRPr="00AF6E4F" w:rsidRDefault="004918C1" w:rsidP="008F03DF">
      <w:pPr>
        <w:spacing w:before="120" w:after="120" w:line="240" w:lineRule="atLeast"/>
        <w:rPr>
          <w:rFonts w:ascii="Arial" w:hAnsi="Arial" w:cs="Arial"/>
          <w:sz w:val="24"/>
          <w:szCs w:val="24"/>
        </w:rPr>
      </w:pPr>
    </w:p>
    <w:p w14:paraId="47F4A695" w14:textId="77777777" w:rsidR="004918C1" w:rsidRPr="00AF6E4F" w:rsidRDefault="004918C1" w:rsidP="008F03DF">
      <w:pPr>
        <w:spacing w:before="120" w:after="120" w:line="240" w:lineRule="atLeast"/>
        <w:rPr>
          <w:rFonts w:ascii="Arial" w:hAnsi="Arial" w:cs="Arial"/>
          <w:sz w:val="24"/>
          <w:szCs w:val="24"/>
        </w:rPr>
      </w:pPr>
      <w:r w:rsidRPr="00AF6E4F">
        <w:rPr>
          <w:rFonts w:ascii="Arial" w:hAnsi="Arial" w:cs="Arial"/>
          <w:noProof/>
          <w:sz w:val="24"/>
          <w:szCs w:val="24"/>
          <w:lang w:eastAsia="en-NZ"/>
        </w:rPr>
        <w:drawing>
          <wp:inline distT="0" distB="0" distL="0" distR="0" wp14:anchorId="6B2D6578" wp14:editId="36B9193F">
            <wp:extent cx="4794250" cy="3132455"/>
            <wp:effectExtent l="0" t="0" r="6350" b="0"/>
            <wp:docPr id="8" name="Picture 15" descr="Participation rate in OECD countries over time. New Zealand sits at approximately 70% in 2019, the second highest country and well above the OECD average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Participation rate in OECD countries over time. New Zealand sits at approximately 70% in 2019, the second highest country and well above the OECD average at 2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94250" cy="3132455"/>
                    </a:xfrm>
                    <a:prstGeom prst="rect">
                      <a:avLst/>
                    </a:prstGeom>
                  </pic:spPr>
                </pic:pic>
              </a:graphicData>
            </a:graphic>
          </wp:inline>
        </w:drawing>
      </w:r>
      <w:r w:rsidRPr="00AF6E4F">
        <w:rPr>
          <w:rFonts w:ascii="Arial" w:hAnsi="Arial" w:cs="Arial"/>
          <w:sz w:val="24"/>
          <w:szCs w:val="24"/>
        </w:rPr>
        <w:br w:type="page"/>
      </w:r>
    </w:p>
    <w:p w14:paraId="252C6336" w14:textId="6E5DB42E" w:rsidR="004918C1" w:rsidRDefault="004918C1" w:rsidP="008F03DF">
      <w:pPr>
        <w:spacing w:before="120" w:after="120" w:line="240" w:lineRule="atLeast"/>
        <w:rPr>
          <w:rFonts w:ascii="Arial" w:hAnsi="Arial" w:cs="Arial"/>
          <w:b/>
          <w:sz w:val="24"/>
          <w:szCs w:val="24"/>
        </w:rPr>
        <w:sectPr w:rsidR="004918C1">
          <w:pgSz w:w="11906" w:h="16838"/>
          <w:pgMar w:top="1440" w:right="1440" w:bottom="1440" w:left="1440" w:header="708" w:footer="708" w:gutter="0"/>
          <w:cols w:space="708"/>
          <w:docGrid w:linePitch="360"/>
        </w:sectPr>
      </w:pPr>
      <w:r w:rsidRPr="00AF6E4F">
        <w:rPr>
          <w:rFonts w:ascii="Arial" w:hAnsi="Arial" w:cs="Arial"/>
          <w:noProof/>
          <w:sz w:val="24"/>
          <w:szCs w:val="24"/>
          <w:lang w:eastAsia="en-NZ"/>
        </w:rPr>
        <w:lastRenderedPageBreak/>
        <w:drawing>
          <wp:inline distT="0" distB="0" distL="0" distR="0" wp14:anchorId="11B07935" wp14:editId="49F70F78">
            <wp:extent cx="3847723" cy="2513936"/>
            <wp:effectExtent l="0" t="0" r="635" b="1270"/>
            <wp:docPr id="9" name="Picture 14" descr="Graph described in paragrap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 descr="Graph described in paragraph 1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49667" cy="2515206"/>
                    </a:xfrm>
                    <a:prstGeom prst="rect">
                      <a:avLst/>
                    </a:prstGeom>
                  </pic:spPr>
                </pic:pic>
              </a:graphicData>
            </a:graphic>
          </wp:inline>
        </w:drawing>
      </w:r>
      <w:r w:rsidRPr="00AF6E4F">
        <w:rPr>
          <w:rFonts w:ascii="Arial" w:hAnsi="Arial" w:cs="Arial"/>
          <w:noProof/>
          <w:sz w:val="24"/>
          <w:szCs w:val="24"/>
          <w:lang w:eastAsia="en-NZ"/>
        </w:rPr>
        <w:drawing>
          <wp:inline distT="0" distB="0" distL="0" distR="0" wp14:anchorId="772EFDBB" wp14:editId="08436605">
            <wp:extent cx="4662170" cy="3045460"/>
            <wp:effectExtent l="0" t="0" r="5080" b="2540"/>
            <wp:docPr id="10" name="Picture 10" descr="Unemployment rates for OECD countries, between 2007 and 2019. New Zealand has one of the lowest unemployment rates at just under 5%, the OECD average is slightly abov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employment rates for OECD countries, between 2007 and 2019. New Zealand has one of the lowest unemployment rates at just under 5%, the OECD average is slightly above 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62170" cy="3045460"/>
                    </a:xfrm>
                    <a:prstGeom prst="rect">
                      <a:avLst/>
                    </a:prstGeom>
                  </pic:spPr>
                </pic:pic>
              </a:graphicData>
            </a:graphic>
          </wp:inline>
        </w:drawing>
      </w:r>
      <w:r w:rsidRPr="00AF6E4F">
        <w:rPr>
          <w:rFonts w:ascii="Arial" w:hAnsi="Arial" w:cs="Arial"/>
          <w:noProof/>
          <w:sz w:val="24"/>
          <w:szCs w:val="24"/>
          <w:lang w:eastAsia="en-NZ"/>
        </w:rPr>
        <w:drawing>
          <wp:inline distT="0" distB="0" distL="0" distR="0" wp14:anchorId="15715B93" wp14:editId="4842E089">
            <wp:extent cx="4589780" cy="2998470"/>
            <wp:effectExtent l="0" t="0" r="1270" b="0"/>
            <wp:docPr id="12" name="Picture 16" descr="Employment growth in OECD countries. New Zealand's employment growth is above the OECD average, and has increased with moderate pace since 2013, but may be slowing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 descr="Employment growth in OECD countries. New Zealand's employment growth is above the OECD average, and has increased with moderate pace since 2013, but may be slowing down. "/>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89780" cy="2998470"/>
                    </a:xfrm>
                    <a:prstGeom prst="rect">
                      <a:avLst/>
                    </a:prstGeom>
                  </pic:spPr>
                </pic:pic>
              </a:graphicData>
            </a:graphic>
          </wp:inline>
        </w:drawing>
      </w:r>
    </w:p>
    <w:p w14:paraId="32E6CD42" w14:textId="16375A7D" w:rsidR="00AF6E4F" w:rsidRPr="00710711" w:rsidRDefault="00AF6E4F" w:rsidP="008F03DF">
      <w:pPr>
        <w:pStyle w:val="Heading1"/>
        <w:spacing w:before="120" w:after="120" w:line="240" w:lineRule="atLeast"/>
        <w:rPr>
          <w:rFonts w:asciiTheme="minorHAnsi" w:hAnsiTheme="minorHAnsi" w:cstheme="minorHAnsi"/>
          <w:b w:val="0"/>
        </w:rPr>
      </w:pPr>
      <w:r w:rsidRPr="00710711">
        <w:rPr>
          <w:rFonts w:asciiTheme="minorHAnsi" w:hAnsiTheme="minorHAnsi" w:cstheme="minorHAnsi"/>
          <w:b w:val="0"/>
        </w:rPr>
        <w:lastRenderedPageBreak/>
        <w:t xml:space="preserve">Annex </w:t>
      </w:r>
      <w:r w:rsidR="004918C1" w:rsidRPr="00710711">
        <w:rPr>
          <w:rFonts w:asciiTheme="minorHAnsi" w:hAnsiTheme="minorHAnsi" w:cstheme="minorHAnsi"/>
          <w:b w:val="0"/>
        </w:rPr>
        <w:t>Two</w:t>
      </w:r>
      <w:r w:rsidR="002232E3" w:rsidRPr="00710711">
        <w:rPr>
          <w:rFonts w:asciiTheme="minorHAnsi" w:hAnsiTheme="minorHAnsi" w:cstheme="minorHAnsi"/>
          <w:b w:val="0"/>
        </w:rPr>
        <w:t>: Regional Population projection</w:t>
      </w:r>
      <w:r w:rsidRPr="00710711">
        <w:rPr>
          <w:rFonts w:asciiTheme="minorHAnsi" w:hAnsiTheme="minorHAnsi" w:cstheme="minorHAnsi"/>
          <w:b w:val="0"/>
        </w:rPr>
        <w:t>s</w:t>
      </w:r>
    </w:p>
    <w:p w14:paraId="5B5D311F" w14:textId="77777777" w:rsidR="002232E3" w:rsidRPr="002232E3" w:rsidRDefault="00AF6E4F" w:rsidP="008F03DF">
      <w:pPr>
        <w:spacing w:before="120" w:after="120" w:line="240" w:lineRule="atLeast"/>
        <w:rPr>
          <w:rFonts w:ascii="Arial" w:hAnsi="Arial" w:cs="Arial"/>
          <w:b/>
          <w:sz w:val="24"/>
          <w:szCs w:val="24"/>
        </w:rPr>
      </w:pPr>
      <w:r>
        <w:rPr>
          <w:rFonts w:ascii="Arial" w:hAnsi="Arial" w:cs="Arial"/>
          <w:b/>
          <w:sz w:val="24"/>
          <w:szCs w:val="24"/>
        </w:rPr>
        <w:t>Medium projec</w:t>
      </w:r>
      <w:r w:rsidR="002232E3">
        <w:rPr>
          <w:rFonts w:ascii="Arial" w:hAnsi="Arial" w:cs="Arial"/>
          <w:b/>
          <w:sz w:val="24"/>
          <w:szCs w:val="24"/>
        </w:rPr>
        <w:t>tion: Year at 30 June 2018 – 202</w:t>
      </w:r>
      <w:r>
        <w:rPr>
          <w:rFonts w:ascii="Arial" w:hAnsi="Arial" w:cs="Arial"/>
          <w:b/>
          <w:sz w:val="24"/>
          <w:szCs w:val="24"/>
        </w:rPr>
        <w:t>8 Percentage Change</w:t>
      </w:r>
    </w:p>
    <w:tbl>
      <w:tblPr>
        <w:tblW w:w="5000" w:type="pct"/>
        <w:tblLayout w:type="fixed"/>
        <w:tblLook w:val="04A0" w:firstRow="1" w:lastRow="0" w:firstColumn="1" w:lastColumn="0" w:noHBand="0" w:noVBand="1"/>
      </w:tblPr>
      <w:tblGrid>
        <w:gridCol w:w="1901"/>
        <w:gridCol w:w="1900"/>
        <w:gridCol w:w="1904"/>
        <w:gridCol w:w="1900"/>
        <w:gridCol w:w="1900"/>
        <w:gridCol w:w="1904"/>
        <w:gridCol w:w="1900"/>
        <w:gridCol w:w="1900"/>
        <w:gridCol w:w="1904"/>
        <w:gridCol w:w="1900"/>
        <w:gridCol w:w="1913"/>
      </w:tblGrid>
      <w:tr w:rsidR="0003202A" w:rsidRPr="0003202A" w14:paraId="2054C1FE" w14:textId="77777777" w:rsidTr="00293360">
        <w:trPr>
          <w:trHeight w:val="1337"/>
        </w:trPr>
        <w:tc>
          <w:tcPr>
            <w:tcW w:w="454" w:type="pct"/>
            <w:tcBorders>
              <w:top w:val="nil"/>
              <w:left w:val="nil"/>
              <w:bottom w:val="single" w:sz="4" w:space="0" w:color="C0C0C0"/>
              <w:right w:val="single" w:sz="4" w:space="0" w:color="C0C0C0"/>
            </w:tcBorders>
            <w:shd w:val="clear" w:color="auto" w:fill="67999A"/>
            <w:vAlign w:val="center"/>
          </w:tcPr>
          <w:p w14:paraId="14DF08E0" w14:textId="5ECE13AD" w:rsidR="00293360" w:rsidRPr="00F63900" w:rsidRDefault="00293360" w:rsidP="008F03DF">
            <w:pPr>
              <w:spacing w:before="120" w:after="120" w:line="240" w:lineRule="atLeast"/>
              <w:jc w:val="center"/>
              <w:rPr>
                <w:rFonts w:ascii="Arial" w:eastAsia="Times New Roman" w:hAnsi="Arial" w:cs="Arial"/>
                <w:sz w:val="21"/>
                <w:szCs w:val="21"/>
                <w:lang w:eastAsia="en-NZ"/>
              </w:rPr>
            </w:pPr>
            <w:r w:rsidRPr="00F63900">
              <w:rPr>
                <w:rFonts w:ascii="Arial" w:eastAsia="Times New Roman" w:hAnsi="Arial" w:cs="Arial"/>
                <w:sz w:val="21"/>
                <w:szCs w:val="21"/>
                <w:lang w:eastAsia="en-NZ"/>
              </w:rPr>
              <w:t>Region</w:t>
            </w:r>
          </w:p>
        </w:tc>
        <w:tc>
          <w:tcPr>
            <w:tcW w:w="454" w:type="pct"/>
            <w:tcBorders>
              <w:top w:val="single" w:sz="4" w:space="0" w:color="C0C0C0"/>
              <w:left w:val="single" w:sz="4" w:space="0" w:color="C0C0C0"/>
              <w:bottom w:val="single" w:sz="4" w:space="0" w:color="C0C0C0"/>
              <w:right w:val="single" w:sz="4" w:space="0" w:color="C0C0C0"/>
            </w:tcBorders>
            <w:shd w:val="clear" w:color="auto" w:fill="67999A"/>
            <w:noWrap/>
            <w:vAlign w:val="center"/>
          </w:tcPr>
          <w:p w14:paraId="4B643BB0" w14:textId="093360F2" w:rsidR="00293360" w:rsidRPr="00F63900" w:rsidRDefault="003B666F" w:rsidP="008F03DF">
            <w:pPr>
              <w:spacing w:before="120" w:after="120" w:line="240" w:lineRule="atLeast"/>
              <w:jc w:val="center"/>
              <w:rPr>
                <w:rFonts w:ascii="Arial" w:eastAsia="Times New Roman" w:hAnsi="Arial" w:cs="Arial"/>
                <w:sz w:val="21"/>
                <w:szCs w:val="21"/>
                <w:lang w:eastAsia="en-NZ"/>
              </w:rPr>
            </w:pPr>
            <w:hyperlink r:id="rId53" w:tooltip="Click once to display linked information. Click and hold to select this cell." w:history="1">
              <w:r w:rsidR="00293360" w:rsidRPr="00F63900">
                <w:rPr>
                  <w:rFonts w:ascii="Arial" w:eastAsia="Times New Roman" w:hAnsi="Arial" w:cs="Arial"/>
                  <w:sz w:val="21"/>
                  <w:szCs w:val="21"/>
                  <w:lang w:eastAsia="en-NZ"/>
                </w:rPr>
                <w:t>European or Other (including New Zealander)</w:t>
              </w:r>
            </w:hyperlink>
            <w:r w:rsidR="00293360" w:rsidRPr="00F63900">
              <w:rPr>
                <w:rFonts w:ascii="Arial" w:eastAsia="Times New Roman" w:hAnsi="Arial" w:cs="Arial"/>
                <w:sz w:val="21"/>
                <w:szCs w:val="21"/>
                <w:lang w:eastAsia="en-NZ"/>
              </w:rPr>
              <w:t xml:space="preserve"> – 15-19 years</w:t>
            </w:r>
          </w:p>
        </w:tc>
        <w:tc>
          <w:tcPr>
            <w:tcW w:w="455" w:type="pct"/>
            <w:tcBorders>
              <w:top w:val="single" w:sz="4" w:space="0" w:color="C0C0C0"/>
              <w:left w:val="single" w:sz="4" w:space="0" w:color="C0C0C0"/>
              <w:bottom w:val="single" w:sz="4" w:space="0" w:color="C0C0C0"/>
              <w:right w:val="single" w:sz="4" w:space="0" w:color="C0C0C0"/>
            </w:tcBorders>
            <w:shd w:val="clear" w:color="auto" w:fill="67999A"/>
            <w:noWrap/>
            <w:vAlign w:val="center"/>
          </w:tcPr>
          <w:p w14:paraId="5F529F42" w14:textId="12EA9773" w:rsidR="00293360" w:rsidRPr="00F63900" w:rsidRDefault="003B666F" w:rsidP="008F03DF">
            <w:pPr>
              <w:spacing w:before="120" w:after="120" w:line="240" w:lineRule="atLeast"/>
              <w:jc w:val="center"/>
              <w:rPr>
                <w:rFonts w:ascii="Arial" w:eastAsia="Times New Roman" w:hAnsi="Arial" w:cs="Arial"/>
                <w:sz w:val="21"/>
                <w:szCs w:val="21"/>
                <w:lang w:eastAsia="en-NZ"/>
              </w:rPr>
            </w:pPr>
            <w:hyperlink r:id="rId54" w:tooltip="Click once to display linked information. Click and hold to select this cell." w:history="1">
              <w:r w:rsidR="00293360" w:rsidRPr="00F63900">
                <w:rPr>
                  <w:rFonts w:ascii="Arial" w:eastAsia="Times New Roman" w:hAnsi="Arial" w:cs="Arial"/>
                  <w:sz w:val="21"/>
                  <w:szCs w:val="21"/>
                  <w:lang w:eastAsia="en-NZ"/>
                </w:rPr>
                <w:t>European or Other (including New Zealander)</w:t>
              </w:r>
            </w:hyperlink>
            <w:r w:rsidR="00293360" w:rsidRPr="00F63900">
              <w:rPr>
                <w:rFonts w:ascii="Arial" w:eastAsia="Times New Roman" w:hAnsi="Arial" w:cs="Arial"/>
                <w:sz w:val="21"/>
                <w:szCs w:val="21"/>
                <w:lang w:eastAsia="en-NZ"/>
              </w:rPr>
              <w:t xml:space="preserve"> – 20-24 years</w:t>
            </w:r>
          </w:p>
        </w:tc>
        <w:tc>
          <w:tcPr>
            <w:tcW w:w="454" w:type="pct"/>
            <w:tcBorders>
              <w:top w:val="single" w:sz="4" w:space="0" w:color="C0C0C0"/>
              <w:left w:val="single" w:sz="4" w:space="0" w:color="C0C0C0"/>
              <w:bottom w:val="single" w:sz="4" w:space="0" w:color="C0C0C0"/>
              <w:right w:val="single" w:sz="4" w:space="0" w:color="C0C0C0"/>
            </w:tcBorders>
            <w:shd w:val="clear" w:color="auto" w:fill="67999A"/>
            <w:noWrap/>
            <w:vAlign w:val="center"/>
          </w:tcPr>
          <w:p w14:paraId="7FB49C63" w14:textId="2B66BD5A" w:rsidR="00293360" w:rsidRPr="00F63900" w:rsidRDefault="00293360" w:rsidP="008F03DF">
            <w:pPr>
              <w:spacing w:before="120" w:after="120" w:line="240" w:lineRule="atLeast"/>
              <w:jc w:val="center"/>
              <w:rPr>
                <w:rFonts w:ascii="Arial" w:eastAsia="Times New Roman" w:hAnsi="Arial" w:cs="Arial"/>
                <w:sz w:val="21"/>
                <w:szCs w:val="21"/>
                <w:lang w:eastAsia="en-NZ"/>
              </w:rPr>
            </w:pPr>
            <w:r w:rsidRPr="00F63900">
              <w:rPr>
                <w:rFonts w:ascii="Arial" w:eastAsia="Times New Roman" w:hAnsi="Arial" w:cs="Arial"/>
                <w:sz w:val="21"/>
                <w:szCs w:val="21"/>
                <w:lang w:eastAsia="en-NZ"/>
              </w:rPr>
              <w:t>Māori - 15-19 years</w:t>
            </w:r>
          </w:p>
        </w:tc>
        <w:tc>
          <w:tcPr>
            <w:tcW w:w="454" w:type="pct"/>
            <w:tcBorders>
              <w:top w:val="single" w:sz="4" w:space="0" w:color="C0C0C0"/>
              <w:left w:val="single" w:sz="4" w:space="0" w:color="C0C0C0"/>
              <w:bottom w:val="single" w:sz="4" w:space="0" w:color="C0C0C0"/>
              <w:right w:val="single" w:sz="4" w:space="0" w:color="C0C0C0"/>
            </w:tcBorders>
            <w:shd w:val="clear" w:color="auto" w:fill="67999A"/>
            <w:noWrap/>
            <w:vAlign w:val="center"/>
          </w:tcPr>
          <w:p w14:paraId="4EE07401" w14:textId="66A379BD" w:rsidR="00293360" w:rsidRPr="00F63900" w:rsidRDefault="00293360" w:rsidP="008F03DF">
            <w:pPr>
              <w:spacing w:before="120" w:after="120" w:line="240" w:lineRule="atLeast"/>
              <w:jc w:val="center"/>
              <w:rPr>
                <w:rFonts w:ascii="Arial" w:eastAsia="Times New Roman" w:hAnsi="Arial" w:cs="Arial"/>
                <w:sz w:val="21"/>
                <w:szCs w:val="21"/>
                <w:lang w:eastAsia="en-NZ"/>
              </w:rPr>
            </w:pPr>
            <w:r w:rsidRPr="00F63900">
              <w:rPr>
                <w:rFonts w:ascii="Arial" w:eastAsia="Times New Roman" w:hAnsi="Arial" w:cs="Arial"/>
                <w:sz w:val="21"/>
                <w:szCs w:val="21"/>
                <w:lang w:eastAsia="en-NZ"/>
              </w:rPr>
              <w:t>Māori – 20-24 years</w:t>
            </w:r>
          </w:p>
        </w:tc>
        <w:tc>
          <w:tcPr>
            <w:tcW w:w="455" w:type="pct"/>
            <w:tcBorders>
              <w:top w:val="single" w:sz="4" w:space="0" w:color="C0C0C0"/>
              <w:left w:val="single" w:sz="4" w:space="0" w:color="C0C0C0"/>
              <w:bottom w:val="single" w:sz="4" w:space="0" w:color="C0C0C0"/>
              <w:right w:val="single" w:sz="4" w:space="0" w:color="C0C0C0"/>
            </w:tcBorders>
            <w:shd w:val="clear" w:color="auto" w:fill="67999A"/>
            <w:noWrap/>
            <w:vAlign w:val="center"/>
          </w:tcPr>
          <w:p w14:paraId="13CF35E3" w14:textId="6B0186B8" w:rsidR="00293360" w:rsidRPr="00F63900" w:rsidRDefault="00293360" w:rsidP="008F03DF">
            <w:pPr>
              <w:spacing w:before="120" w:after="120" w:line="240" w:lineRule="atLeast"/>
              <w:jc w:val="center"/>
              <w:rPr>
                <w:rFonts w:ascii="Arial" w:eastAsia="Times New Roman" w:hAnsi="Arial" w:cs="Arial"/>
                <w:sz w:val="21"/>
                <w:szCs w:val="21"/>
                <w:lang w:eastAsia="en-NZ"/>
              </w:rPr>
            </w:pPr>
            <w:r w:rsidRPr="00F63900">
              <w:rPr>
                <w:rFonts w:ascii="Arial" w:eastAsia="Times New Roman" w:hAnsi="Arial" w:cs="Arial"/>
                <w:sz w:val="21"/>
                <w:szCs w:val="21"/>
                <w:lang w:eastAsia="en-NZ"/>
              </w:rPr>
              <w:t>Asian 15-19 years</w:t>
            </w:r>
          </w:p>
        </w:tc>
        <w:tc>
          <w:tcPr>
            <w:tcW w:w="454" w:type="pct"/>
            <w:tcBorders>
              <w:top w:val="single" w:sz="4" w:space="0" w:color="C0C0C0"/>
              <w:left w:val="single" w:sz="4" w:space="0" w:color="C0C0C0"/>
              <w:bottom w:val="single" w:sz="4" w:space="0" w:color="C0C0C0"/>
              <w:right w:val="single" w:sz="4" w:space="0" w:color="C0C0C0"/>
            </w:tcBorders>
            <w:shd w:val="clear" w:color="auto" w:fill="67999A"/>
            <w:noWrap/>
            <w:vAlign w:val="center"/>
          </w:tcPr>
          <w:p w14:paraId="0F53120B" w14:textId="17A099C1" w:rsidR="00293360" w:rsidRPr="00F63900" w:rsidRDefault="00293360" w:rsidP="008F03DF">
            <w:pPr>
              <w:spacing w:before="120" w:after="120" w:line="240" w:lineRule="atLeast"/>
              <w:jc w:val="center"/>
              <w:rPr>
                <w:rFonts w:ascii="Arial" w:eastAsia="Times New Roman" w:hAnsi="Arial" w:cs="Arial"/>
                <w:sz w:val="21"/>
                <w:szCs w:val="21"/>
                <w:lang w:eastAsia="en-NZ"/>
              </w:rPr>
            </w:pPr>
            <w:r w:rsidRPr="00F63900">
              <w:rPr>
                <w:rFonts w:ascii="Arial" w:eastAsia="Times New Roman" w:hAnsi="Arial" w:cs="Arial"/>
                <w:sz w:val="21"/>
                <w:szCs w:val="21"/>
                <w:lang w:eastAsia="en-NZ"/>
              </w:rPr>
              <w:t>Asian 20-24 years</w:t>
            </w:r>
          </w:p>
        </w:tc>
        <w:tc>
          <w:tcPr>
            <w:tcW w:w="454" w:type="pct"/>
            <w:tcBorders>
              <w:top w:val="single" w:sz="4" w:space="0" w:color="C0C0C0"/>
              <w:left w:val="single" w:sz="4" w:space="0" w:color="C0C0C0"/>
              <w:bottom w:val="single" w:sz="4" w:space="0" w:color="C0C0C0"/>
              <w:right w:val="single" w:sz="4" w:space="0" w:color="C0C0C0"/>
            </w:tcBorders>
            <w:shd w:val="clear" w:color="auto" w:fill="67999A"/>
            <w:noWrap/>
            <w:vAlign w:val="center"/>
          </w:tcPr>
          <w:p w14:paraId="00E7FBE7" w14:textId="138813B4" w:rsidR="00293360" w:rsidRPr="00F63900" w:rsidRDefault="00293360" w:rsidP="008F03DF">
            <w:pPr>
              <w:spacing w:before="120" w:after="120" w:line="240" w:lineRule="atLeast"/>
              <w:jc w:val="center"/>
              <w:rPr>
                <w:rFonts w:ascii="Arial" w:eastAsia="Times New Roman" w:hAnsi="Arial" w:cs="Arial"/>
                <w:sz w:val="21"/>
                <w:szCs w:val="21"/>
                <w:lang w:eastAsia="en-NZ"/>
              </w:rPr>
            </w:pPr>
            <w:r w:rsidRPr="00F63900">
              <w:rPr>
                <w:rFonts w:ascii="Arial" w:eastAsia="Times New Roman" w:hAnsi="Arial" w:cs="Arial"/>
                <w:sz w:val="21"/>
                <w:szCs w:val="21"/>
                <w:lang w:eastAsia="en-NZ"/>
              </w:rPr>
              <w:t>Pacific 15-19 years</w:t>
            </w:r>
          </w:p>
        </w:tc>
        <w:tc>
          <w:tcPr>
            <w:tcW w:w="455" w:type="pct"/>
            <w:tcBorders>
              <w:top w:val="single" w:sz="4" w:space="0" w:color="C0C0C0"/>
              <w:left w:val="single" w:sz="4" w:space="0" w:color="C0C0C0"/>
              <w:bottom w:val="single" w:sz="4" w:space="0" w:color="C0C0C0"/>
              <w:right w:val="single" w:sz="4" w:space="0" w:color="C0C0C0"/>
            </w:tcBorders>
            <w:shd w:val="clear" w:color="auto" w:fill="67999A"/>
            <w:noWrap/>
            <w:vAlign w:val="center"/>
          </w:tcPr>
          <w:p w14:paraId="5EB78078" w14:textId="07CD593E" w:rsidR="00293360" w:rsidRPr="00F63900" w:rsidRDefault="00293360" w:rsidP="008F03DF">
            <w:pPr>
              <w:spacing w:before="120" w:after="120" w:line="240" w:lineRule="atLeast"/>
              <w:jc w:val="center"/>
              <w:rPr>
                <w:rFonts w:ascii="Arial" w:eastAsia="Times New Roman" w:hAnsi="Arial" w:cs="Arial"/>
                <w:sz w:val="21"/>
                <w:szCs w:val="21"/>
                <w:lang w:eastAsia="en-NZ"/>
              </w:rPr>
            </w:pPr>
            <w:r w:rsidRPr="00F63900">
              <w:rPr>
                <w:rFonts w:ascii="Arial" w:eastAsia="Times New Roman" w:hAnsi="Arial" w:cs="Arial"/>
                <w:sz w:val="21"/>
                <w:szCs w:val="21"/>
                <w:lang w:eastAsia="en-NZ"/>
              </w:rPr>
              <w:t>Pacific 20-24 years</w:t>
            </w:r>
          </w:p>
        </w:tc>
        <w:tc>
          <w:tcPr>
            <w:tcW w:w="454" w:type="pct"/>
            <w:tcBorders>
              <w:top w:val="single" w:sz="4" w:space="0" w:color="C0C0C0"/>
              <w:left w:val="single" w:sz="4" w:space="0" w:color="C0C0C0"/>
              <w:bottom w:val="single" w:sz="4" w:space="0" w:color="C0C0C0"/>
              <w:right w:val="single" w:sz="4" w:space="0" w:color="C0C0C0"/>
            </w:tcBorders>
            <w:shd w:val="clear" w:color="auto" w:fill="67999A"/>
            <w:noWrap/>
            <w:vAlign w:val="center"/>
          </w:tcPr>
          <w:p w14:paraId="40C8543C" w14:textId="5F172DE7" w:rsidR="00293360" w:rsidRPr="00F63900" w:rsidRDefault="00293360" w:rsidP="008F03DF">
            <w:pPr>
              <w:spacing w:before="120" w:after="120" w:line="240" w:lineRule="atLeast"/>
              <w:jc w:val="center"/>
              <w:rPr>
                <w:rFonts w:ascii="Arial" w:eastAsia="Times New Roman" w:hAnsi="Arial" w:cs="Arial"/>
                <w:sz w:val="21"/>
                <w:szCs w:val="21"/>
                <w:u w:val="single"/>
                <w:lang w:eastAsia="en-NZ"/>
              </w:rPr>
            </w:pPr>
            <w:r w:rsidRPr="00F63900">
              <w:rPr>
                <w:rFonts w:ascii="Arial" w:eastAsia="Times New Roman" w:hAnsi="Arial" w:cs="Arial"/>
                <w:sz w:val="21"/>
                <w:szCs w:val="21"/>
                <w:u w:val="single"/>
                <w:lang w:eastAsia="en-NZ"/>
              </w:rPr>
              <w:t>Total population – 15-19 years</w:t>
            </w:r>
          </w:p>
        </w:tc>
        <w:tc>
          <w:tcPr>
            <w:tcW w:w="457" w:type="pct"/>
            <w:tcBorders>
              <w:top w:val="single" w:sz="4" w:space="0" w:color="C0C0C0"/>
              <w:left w:val="single" w:sz="4" w:space="0" w:color="C0C0C0"/>
              <w:bottom w:val="single" w:sz="4" w:space="0" w:color="C0C0C0"/>
              <w:right w:val="single" w:sz="4" w:space="0" w:color="C0C0C0"/>
            </w:tcBorders>
            <w:shd w:val="clear" w:color="auto" w:fill="67999A"/>
            <w:noWrap/>
            <w:vAlign w:val="center"/>
          </w:tcPr>
          <w:p w14:paraId="60546287" w14:textId="22C884AD" w:rsidR="00293360" w:rsidRPr="00F63900" w:rsidRDefault="00293360" w:rsidP="008F03DF">
            <w:pPr>
              <w:spacing w:before="120" w:after="120" w:line="240" w:lineRule="atLeast"/>
              <w:jc w:val="center"/>
              <w:rPr>
                <w:rFonts w:ascii="Arial" w:eastAsia="Times New Roman" w:hAnsi="Arial" w:cs="Arial"/>
                <w:sz w:val="21"/>
                <w:szCs w:val="21"/>
                <w:lang w:eastAsia="en-NZ"/>
              </w:rPr>
            </w:pPr>
            <w:r w:rsidRPr="00F63900">
              <w:rPr>
                <w:rFonts w:ascii="Arial" w:eastAsia="Times New Roman" w:hAnsi="Arial" w:cs="Arial"/>
                <w:sz w:val="21"/>
                <w:szCs w:val="21"/>
                <w:u w:val="single"/>
                <w:lang w:eastAsia="en-NZ"/>
              </w:rPr>
              <w:t>Total population – 20-24 years</w:t>
            </w:r>
          </w:p>
        </w:tc>
      </w:tr>
      <w:tr w:rsidR="00293360" w:rsidRPr="00B90332" w14:paraId="2CE092D2" w14:textId="77777777" w:rsidTr="00293360">
        <w:trPr>
          <w:trHeight w:val="400"/>
        </w:trPr>
        <w:tc>
          <w:tcPr>
            <w:tcW w:w="454" w:type="pct"/>
            <w:tcBorders>
              <w:top w:val="nil"/>
              <w:left w:val="nil"/>
              <w:bottom w:val="single" w:sz="4" w:space="0" w:color="C0C0C0"/>
              <w:right w:val="single" w:sz="4" w:space="0" w:color="C0C0C0"/>
            </w:tcBorders>
            <w:shd w:val="clear" w:color="000000" w:fill="D7F7F6"/>
            <w:hideMark/>
          </w:tcPr>
          <w:p w14:paraId="446E8B6B" w14:textId="77777777" w:rsidR="00293360" w:rsidRPr="00F63900" w:rsidRDefault="00293360" w:rsidP="008F03DF">
            <w:pPr>
              <w:spacing w:before="120" w:after="120" w:line="240" w:lineRule="atLeast"/>
              <w:rPr>
                <w:rFonts w:ascii="Arial" w:eastAsia="Times New Roman" w:hAnsi="Arial" w:cs="Arial"/>
                <w:sz w:val="21"/>
                <w:szCs w:val="21"/>
                <w:lang w:eastAsia="en-NZ"/>
              </w:rPr>
            </w:pPr>
            <w:r w:rsidRPr="00F63900">
              <w:rPr>
                <w:rFonts w:ascii="Arial" w:eastAsia="Times New Roman" w:hAnsi="Arial" w:cs="Arial"/>
                <w:sz w:val="21"/>
                <w:szCs w:val="21"/>
                <w:lang w:eastAsia="en-NZ"/>
              </w:rPr>
              <w:t>Northland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EEB84"/>
            <w:noWrap/>
            <w:vAlign w:val="bottom"/>
          </w:tcPr>
          <w:p w14:paraId="5FE771F8"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17.50%</w:t>
            </w:r>
          </w:p>
        </w:tc>
        <w:tc>
          <w:tcPr>
            <w:tcW w:w="455" w:type="pct"/>
            <w:tcBorders>
              <w:top w:val="single" w:sz="4" w:space="0" w:color="C0C0C0"/>
              <w:left w:val="single" w:sz="4" w:space="0" w:color="C0C0C0"/>
              <w:bottom w:val="single" w:sz="4" w:space="0" w:color="C0C0C0"/>
              <w:right w:val="single" w:sz="4" w:space="0" w:color="C0C0C0"/>
            </w:tcBorders>
            <w:shd w:val="clear" w:color="000000" w:fill="F97F6F"/>
            <w:noWrap/>
            <w:vAlign w:val="bottom"/>
          </w:tcPr>
          <w:p w14:paraId="4D0C18BA"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-14.43%</w:t>
            </w:r>
          </w:p>
        </w:tc>
        <w:tc>
          <w:tcPr>
            <w:tcW w:w="454" w:type="pct"/>
            <w:tcBorders>
              <w:top w:val="single" w:sz="4" w:space="0" w:color="C0C0C0"/>
              <w:left w:val="single" w:sz="4" w:space="0" w:color="C0C0C0"/>
              <w:bottom w:val="single" w:sz="4" w:space="0" w:color="C0C0C0"/>
              <w:right w:val="single" w:sz="4" w:space="0" w:color="C0C0C0"/>
            </w:tcBorders>
            <w:shd w:val="clear" w:color="000000" w:fill="F3E884"/>
            <w:noWrap/>
            <w:vAlign w:val="bottom"/>
          </w:tcPr>
          <w:p w14:paraId="641D650B"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25.26%</w:t>
            </w:r>
          </w:p>
        </w:tc>
        <w:tc>
          <w:tcPr>
            <w:tcW w:w="454" w:type="pct"/>
            <w:tcBorders>
              <w:top w:val="single" w:sz="4" w:space="0" w:color="C0C0C0"/>
              <w:left w:val="single" w:sz="4" w:space="0" w:color="C0C0C0"/>
              <w:bottom w:val="single" w:sz="4" w:space="0" w:color="C0C0C0"/>
              <w:right w:val="single" w:sz="4" w:space="0" w:color="C0C0C0"/>
            </w:tcBorders>
            <w:shd w:val="clear" w:color="000000" w:fill="FDEB84"/>
            <w:noWrap/>
            <w:vAlign w:val="bottom"/>
          </w:tcPr>
          <w:p w14:paraId="56BA5027"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18.32%</w:t>
            </w:r>
          </w:p>
        </w:tc>
        <w:tc>
          <w:tcPr>
            <w:tcW w:w="455" w:type="pct"/>
            <w:tcBorders>
              <w:top w:val="single" w:sz="4" w:space="0" w:color="C0C0C0"/>
              <w:left w:val="single" w:sz="4" w:space="0" w:color="C0C0C0"/>
              <w:bottom w:val="single" w:sz="4" w:space="0" w:color="C0C0C0"/>
              <w:right w:val="single" w:sz="4" w:space="0" w:color="C0C0C0"/>
            </w:tcBorders>
            <w:shd w:val="clear" w:color="000000" w:fill="C3DA81"/>
            <w:noWrap/>
            <w:vAlign w:val="bottom"/>
          </w:tcPr>
          <w:p w14:paraId="44A1DD5B"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58.33%</w:t>
            </w:r>
          </w:p>
        </w:tc>
        <w:tc>
          <w:tcPr>
            <w:tcW w:w="454" w:type="pct"/>
            <w:tcBorders>
              <w:top w:val="single" w:sz="4" w:space="0" w:color="C0C0C0"/>
              <w:left w:val="single" w:sz="4" w:space="0" w:color="C0C0C0"/>
              <w:bottom w:val="single" w:sz="4" w:space="0" w:color="C0C0C0"/>
              <w:right w:val="single" w:sz="4" w:space="0" w:color="C0C0C0"/>
            </w:tcBorders>
            <w:shd w:val="clear" w:color="000000" w:fill="F3E884"/>
            <w:noWrap/>
            <w:vAlign w:val="bottom"/>
          </w:tcPr>
          <w:p w14:paraId="10B5C933"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25.00%</w:t>
            </w:r>
          </w:p>
        </w:tc>
        <w:tc>
          <w:tcPr>
            <w:tcW w:w="454" w:type="pct"/>
            <w:tcBorders>
              <w:top w:val="single" w:sz="4" w:space="0" w:color="C0C0C0"/>
              <w:left w:val="single" w:sz="4" w:space="0" w:color="C0C0C0"/>
              <w:bottom w:val="single" w:sz="4" w:space="0" w:color="C0C0C0"/>
              <w:right w:val="single" w:sz="4" w:space="0" w:color="C0C0C0"/>
            </w:tcBorders>
            <w:shd w:val="clear" w:color="000000" w:fill="DEE283"/>
            <w:noWrap/>
            <w:vAlign w:val="bottom"/>
          </w:tcPr>
          <w:p w14:paraId="28F4548A"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39.53%</w:t>
            </w:r>
          </w:p>
        </w:tc>
        <w:tc>
          <w:tcPr>
            <w:tcW w:w="455" w:type="pct"/>
            <w:tcBorders>
              <w:top w:val="single" w:sz="4" w:space="0" w:color="C0C0C0"/>
              <w:left w:val="single" w:sz="4" w:space="0" w:color="C0C0C0"/>
              <w:bottom w:val="single" w:sz="4" w:space="0" w:color="C0C0C0"/>
              <w:right w:val="single" w:sz="4" w:space="0" w:color="C0C0C0"/>
            </w:tcBorders>
            <w:shd w:val="clear" w:color="000000" w:fill="E8E583"/>
            <w:noWrap/>
            <w:vAlign w:val="bottom"/>
          </w:tcPr>
          <w:p w14:paraId="405BEFA6"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32.81%</w:t>
            </w:r>
          </w:p>
        </w:tc>
        <w:tc>
          <w:tcPr>
            <w:tcW w:w="454" w:type="pct"/>
            <w:tcBorders>
              <w:top w:val="single" w:sz="4" w:space="0" w:color="C0C0C0"/>
              <w:left w:val="single" w:sz="4" w:space="0" w:color="C0C0C0"/>
              <w:bottom w:val="single" w:sz="4" w:space="0" w:color="C0C0C0"/>
              <w:right w:val="single" w:sz="4" w:space="0" w:color="C0C0C0"/>
            </w:tcBorders>
            <w:shd w:val="clear" w:color="000000" w:fill="FEDD81"/>
            <w:noWrap/>
            <w:vAlign w:val="bottom"/>
          </w:tcPr>
          <w:p w14:paraId="22059204"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12.74%</w:t>
            </w:r>
          </w:p>
        </w:tc>
        <w:tc>
          <w:tcPr>
            <w:tcW w:w="457" w:type="pct"/>
            <w:tcBorders>
              <w:top w:val="single" w:sz="4" w:space="0" w:color="C0C0C0"/>
              <w:left w:val="single" w:sz="4" w:space="0" w:color="C0C0C0"/>
              <w:bottom w:val="single" w:sz="4" w:space="0" w:color="C0C0C0"/>
              <w:right w:val="single" w:sz="4" w:space="0" w:color="C0C0C0"/>
            </w:tcBorders>
            <w:shd w:val="clear" w:color="000000" w:fill="FA9473"/>
            <w:noWrap/>
            <w:vAlign w:val="bottom"/>
          </w:tcPr>
          <w:p w14:paraId="4ABF6DB5"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-8.45%</w:t>
            </w:r>
          </w:p>
        </w:tc>
      </w:tr>
      <w:tr w:rsidR="00293360" w:rsidRPr="00B90332" w14:paraId="134EC310" w14:textId="77777777" w:rsidTr="00293360">
        <w:trPr>
          <w:trHeight w:val="400"/>
        </w:trPr>
        <w:tc>
          <w:tcPr>
            <w:tcW w:w="454" w:type="pct"/>
            <w:tcBorders>
              <w:top w:val="nil"/>
              <w:left w:val="nil"/>
              <w:bottom w:val="single" w:sz="4" w:space="0" w:color="C0C0C0"/>
              <w:right w:val="single" w:sz="4" w:space="0" w:color="C0C0C0"/>
            </w:tcBorders>
            <w:shd w:val="clear" w:color="000000" w:fill="D7F7F6"/>
            <w:hideMark/>
          </w:tcPr>
          <w:p w14:paraId="3E6D4281" w14:textId="77777777" w:rsidR="00293360" w:rsidRPr="00F63900" w:rsidRDefault="00293360" w:rsidP="008F03DF">
            <w:pPr>
              <w:spacing w:before="120" w:after="120" w:line="240" w:lineRule="atLeast"/>
              <w:rPr>
                <w:rFonts w:ascii="Arial" w:eastAsia="Times New Roman" w:hAnsi="Arial" w:cs="Arial"/>
                <w:sz w:val="21"/>
                <w:szCs w:val="21"/>
                <w:lang w:eastAsia="en-NZ"/>
              </w:rPr>
            </w:pPr>
            <w:r w:rsidRPr="00F63900">
              <w:rPr>
                <w:rFonts w:ascii="Arial" w:eastAsia="Times New Roman" w:hAnsi="Arial" w:cs="Arial"/>
                <w:sz w:val="21"/>
                <w:szCs w:val="21"/>
                <w:lang w:eastAsia="en-NZ"/>
              </w:rPr>
              <w:t>Auckland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ED980"/>
            <w:noWrap/>
            <w:vAlign w:val="bottom"/>
          </w:tcPr>
          <w:p w14:paraId="009D1BE5"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11.53%</w:t>
            </w:r>
          </w:p>
        </w:tc>
        <w:tc>
          <w:tcPr>
            <w:tcW w:w="455" w:type="pct"/>
            <w:tcBorders>
              <w:top w:val="single" w:sz="4" w:space="0" w:color="C0C0C0"/>
              <w:left w:val="single" w:sz="4" w:space="0" w:color="C0C0C0"/>
              <w:bottom w:val="single" w:sz="4" w:space="0" w:color="C0C0C0"/>
              <w:right w:val="single" w:sz="4" w:space="0" w:color="C0C0C0"/>
            </w:tcBorders>
            <w:shd w:val="clear" w:color="000000" w:fill="FAA075"/>
            <w:noWrap/>
            <w:vAlign w:val="bottom"/>
          </w:tcPr>
          <w:p w14:paraId="2643C92E"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-4.97%</w:t>
            </w:r>
          </w:p>
        </w:tc>
        <w:tc>
          <w:tcPr>
            <w:tcW w:w="454" w:type="pct"/>
            <w:tcBorders>
              <w:top w:val="single" w:sz="4" w:space="0" w:color="C0C0C0"/>
              <w:left w:val="single" w:sz="4" w:space="0" w:color="C0C0C0"/>
              <w:bottom w:val="single" w:sz="4" w:space="0" w:color="C0C0C0"/>
              <w:right w:val="single" w:sz="4" w:space="0" w:color="C0C0C0"/>
            </w:tcBorders>
            <w:shd w:val="clear" w:color="000000" w:fill="FFEB84"/>
            <w:noWrap/>
            <w:vAlign w:val="bottom"/>
          </w:tcPr>
          <w:p w14:paraId="1189AAE7"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16.61%</w:t>
            </w:r>
          </w:p>
        </w:tc>
        <w:tc>
          <w:tcPr>
            <w:tcW w:w="454" w:type="pct"/>
            <w:tcBorders>
              <w:top w:val="single" w:sz="4" w:space="0" w:color="C0C0C0"/>
              <w:left w:val="single" w:sz="4" w:space="0" w:color="C0C0C0"/>
              <w:bottom w:val="single" w:sz="4" w:space="0" w:color="C0C0C0"/>
              <w:right w:val="single" w:sz="4" w:space="0" w:color="C0C0C0"/>
            </w:tcBorders>
            <w:shd w:val="clear" w:color="000000" w:fill="FDCF7E"/>
            <w:noWrap/>
            <w:vAlign w:val="bottom"/>
          </w:tcPr>
          <w:p w14:paraId="696E1FF1"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8.66%</w:t>
            </w:r>
          </w:p>
        </w:tc>
        <w:tc>
          <w:tcPr>
            <w:tcW w:w="455" w:type="pct"/>
            <w:tcBorders>
              <w:top w:val="single" w:sz="4" w:space="0" w:color="C0C0C0"/>
              <w:left w:val="single" w:sz="4" w:space="0" w:color="C0C0C0"/>
              <w:bottom w:val="single" w:sz="4" w:space="0" w:color="C0C0C0"/>
              <w:right w:val="single" w:sz="4" w:space="0" w:color="C0C0C0"/>
            </w:tcBorders>
            <w:shd w:val="clear" w:color="000000" w:fill="F6E984"/>
            <w:noWrap/>
            <w:vAlign w:val="bottom"/>
          </w:tcPr>
          <w:p w14:paraId="40CC55B4"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23.04%</w:t>
            </w:r>
          </w:p>
        </w:tc>
        <w:tc>
          <w:tcPr>
            <w:tcW w:w="454" w:type="pct"/>
            <w:tcBorders>
              <w:top w:val="single" w:sz="4" w:space="0" w:color="C0C0C0"/>
              <w:left w:val="single" w:sz="4" w:space="0" w:color="C0C0C0"/>
              <w:bottom w:val="single" w:sz="4" w:space="0" w:color="C0C0C0"/>
              <w:right w:val="single" w:sz="4" w:space="0" w:color="C0C0C0"/>
            </w:tcBorders>
            <w:shd w:val="clear" w:color="000000" w:fill="F98C71"/>
            <w:noWrap/>
            <w:vAlign w:val="bottom"/>
          </w:tcPr>
          <w:p w14:paraId="7A00A0D2"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-10.55%</w:t>
            </w:r>
          </w:p>
        </w:tc>
        <w:tc>
          <w:tcPr>
            <w:tcW w:w="454" w:type="pct"/>
            <w:tcBorders>
              <w:top w:val="single" w:sz="4" w:space="0" w:color="C0C0C0"/>
              <w:left w:val="single" w:sz="4" w:space="0" w:color="C0C0C0"/>
              <w:bottom w:val="single" w:sz="4" w:space="0" w:color="C0C0C0"/>
              <w:right w:val="single" w:sz="4" w:space="0" w:color="C0C0C0"/>
            </w:tcBorders>
            <w:shd w:val="clear" w:color="000000" w:fill="FDD37F"/>
            <w:noWrap/>
            <w:vAlign w:val="bottom"/>
          </w:tcPr>
          <w:p w14:paraId="05268E9B"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9.71%</w:t>
            </w:r>
          </w:p>
        </w:tc>
        <w:tc>
          <w:tcPr>
            <w:tcW w:w="455" w:type="pct"/>
            <w:tcBorders>
              <w:top w:val="single" w:sz="4" w:space="0" w:color="C0C0C0"/>
              <w:left w:val="single" w:sz="4" w:space="0" w:color="C0C0C0"/>
              <w:bottom w:val="single" w:sz="4" w:space="0" w:color="C0C0C0"/>
              <w:right w:val="single" w:sz="4" w:space="0" w:color="C0C0C0"/>
            </w:tcBorders>
            <w:shd w:val="clear" w:color="000000" w:fill="FDCA7D"/>
            <w:noWrap/>
            <w:vAlign w:val="bottom"/>
          </w:tcPr>
          <w:p w14:paraId="33397C98"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7.04%</w:t>
            </w:r>
          </w:p>
        </w:tc>
        <w:tc>
          <w:tcPr>
            <w:tcW w:w="454" w:type="pct"/>
            <w:tcBorders>
              <w:top w:val="single" w:sz="4" w:space="0" w:color="C0C0C0"/>
              <w:left w:val="single" w:sz="4" w:space="0" w:color="C0C0C0"/>
              <w:bottom w:val="single" w:sz="4" w:space="0" w:color="C0C0C0"/>
              <w:right w:val="single" w:sz="4" w:space="0" w:color="C0C0C0"/>
            </w:tcBorders>
            <w:shd w:val="clear" w:color="000000" w:fill="FDD07E"/>
            <w:noWrap/>
            <w:vAlign w:val="bottom"/>
          </w:tcPr>
          <w:p w14:paraId="3F6D941B"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8.84%</w:t>
            </w:r>
          </w:p>
        </w:tc>
        <w:tc>
          <w:tcPr>
            <w:tcW w:w="457" w:type="pct"/>
            <w:tcBorders>
              <w:top w:val="single" w:sz="4" w:space="0" w:color="C0C0C0"/>
              <w:left w:val="single" w:sz="4" w:space="0" w:color="C0C0C0"/>
              <w:bottom w:val="single" w:sz="4" w:space="0" w:color="C0C0C0"/>
              <w:right w:val="single" w:sz="4" w:space="0" w:color="C0C0C0"/>
            </w:tcBorders>
            <w:shd w:val="clear" w:color="000000" w:fill="FA9974"/>
            <w:noWrap/>
            <w:vAlign w:val="bottom"/>
          </w:tcPr>
          <w:p w14:paraId="69D7B52F"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-6.98%</w:t>
            </w:r>
          </w:p>
        </w:tc>
      </w:tr>
      <w:tr w:rsidR="00293360" w:rsidRPr="00B90332" w14:paraId="3845BE2F" w14:textId="77777777" w:rsidTr="00293360">
        <w:trPr>
          <w:trHeight w:val="400"/>
        </w:trPr>
        <w:tc>
          <w:tcPr>
            <w:tcW w:w="454" w:type="pct"/>
            <w:tcBorders>
              <w:top w:val="nil"/>
              <w:left w:val="nil"/>
              <w:bottom w:val="single" w:sz="4" w:space="0" w:color="C0C0C0"/>
              <w:right w:val="single" w:sz="4" w:space="0" w:color="C0C0C0"/>
            </w:tcBorders>
            <w:shd w:val="clear" w:color="000000" w:fill="D7F7F6"/>
            <w:hideMark/>
          </w:tcPr>
          <w:p w14:paraId="4F9E015F" w14:textId="77777777" w:rsidR="00293360" w:rsidRPr="00F63900" w:rsidRDefault="00293360" w:rsidP="008F03DF">
            <w:pPr>
              <w:spacing w:before="120" w:after="120" w:line="240" w:lineRule="atLeast"/>
              <w:rPr>
                <w:rFonts w:ascii="Arial" w:eastAsia="Times New Roman" w:hAnsi="Arial" w:cs="Arial"/>
                <w:sz w:val="21"/>
                <w:szCs w:val="21"/>
                <w:lang w:eastAsia="en-NZ"/>
              </w:rPr>
            </w:pPr>
            <w:r w:rsidRPr="00F63900">
              <w:rPr>
                <w:rFonts w:ascii="Arial" w:eastAsia="Times New Roman" w:hAnsi="Arial" w:cs="Arial"/>
                <w:sz w:val="21"/>
                <w:szCs w:val="21"/>
                <w:lang w:eastAsia="en-NZ"/>
              </w:rPr>
              <w:t>Waikato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DD07E"/>
            <w:noWrap/>
            <w:vAlign w:val="bottom"/>
          </w:tcPr>
          <w:p w14:paraId="7BA77B11"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8.92%</w:t>
            </w:r>
          </w:p>
        </w:tc>
        <w:tc>
          <w:tcPr>
            <w:tcW w:w="455" w:type="pct"/>
            <w:tcBorders>
              <w:top w:val="single" w:sz="4" w:space="0" w:color="C0C0C0"/>
              <w:left w:val="single" w:sz="4" w:space="0" w:color="C0C0C0"/>
              <w:bottom w:val="single" w:sz="4" w:space="0" w:color="C0C0C0"/>
              <w:right w:val="single" w:sz="4" w:space="0" w:color="C0C0C0"/>
            </w:tcBorders>
            <w:shd w:val="clear" w:color="000000" w:fill="FA9F75"/>
            <w:noWrap/>
            <w:vAlign w:val="bottom"/>
          </w:tcPr>
          <w:p w14:paraId="6329280B"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-5.21%</w:t>
            </w:r>
          </w:p>
        </w:tc>
        <w:tc>
          <w:tcPr>
            <w:tcW w:w="454" w:type="pct"/>
            <w:tcBorders>
              <w:top w:val="single" w:sz="4" w:space="0" w:color="C0C0C0"/>
              <w:left w:val="single" w:sz="4" w:space="0" w:color="C0C0C0"/>
              <w:bottom w:val="single" w:sz="4" w:space="0" w:color="C0C0C0"/>
              <w:right w:val="single" w:sz="4" w:space="0" w:color="C0C0C0"/>
            </w:tcBorders>
            <w:shd w:val="clear" w:color="000000" w:fill="F0E784"/>
            <w:noWrap/>
            <w:vAlign w:val="bottom"/>
          </w:tcPr>
          <w:p w14:paraId="3CF22B5A"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27.18%</w:t>
            </w:r>
          </w:p>
        </w:tc>
        <w:tc>
          <w:tcPr>
            <w:tcW w:w="454" w:type="pct"/>
            <w:tcBorders>
              <w:top w:val="single" w:sz="4" w:space="0" w:color="C0C0C0"/>
              <w:left w:val="single" w:sz="4" w:space="0" w:color="C0C0C0"/>
              <w:bottom w:val="single" w:sz="4" w:space="0" w:color="C0C0C0"/>
              <w:right w:val="single" w:sz="4" w:space="0" w:color="C0C0C0"/>
            </w:tcBorders>
            <w:shd w:val="clear" w:color="000000" w:fill="FBEA84"/>
            <w:noWrap/>
            <w:vAlign w:val="bottom"/>
          </w:tcPr>
          <w:p w14:paraId="3175F11D"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19.37%</w:t>
            </w:r>
          </w:p>
        </w:tc>
        <w:tc>
          <w:tcPr>
            <w:tcW w:w="455" w:type="pct"/>
            <w:tcBorders>
              <w:top w:val="single" w:sz="4" w:space="0" w:color="C0C0C0"/>
              <w:left w:val="single" w:sz="4" w:space="0" w:color="C0C0C0"/>
              <w:bottom w:val="single" w:sz="4" w:space="0" w:color="C0C0C0"/>
              <w:right w:val="single" w:sz="4" w:space="0" w:color="C0C0C0"/>
            </w:tcBorders>
            <w:shd w:val="clear" w:color="000000" w:fill="CDDD82"/>
            <w:noWrap/>
            <w:vAlign w:val="bottom"/>
          </w:tcPr>
          <w:p w14:paraId="14AFC213"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51.94%</w:t>
            </w:r>
          </w:p>
        </w:tc>
        <w:tc>
          <w:tcPr>
            <w:tcW w:w="454" w:type="pct"/>
            <w:tcBorders>
              <w:top w:val="single" w:sz="4" w:space="0" w:color="C0C0C0"/>
              <w:left w:val="single" w:sz="4" w:space="0" w:color="C0C0C0"/>
              <w:bottom w:val="single" w:sz="4" w:space="0" w:color="C0C0C0"/>
              <w:right w:val="single" w:sz="4" w:space="0" w:color="C0C0C0"/>
            </w:tcBorders>
            <w:shd w:val="clear" w:color="000000" w:fill="FDD17F"/>
            <w:noWrap/>
            <w:vAlign w:val="bottom"/>
          </w:tcPr>
          <w:p w14:paraId="35B512E4"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9.21%</w:t>
            </w:r>
          </w:p>
        </w:tc>
        <w:tc>
          <w:tcPr>
            <w:tcW w:w="454" w:type="pct"/>
            <w:tcBorders>
              <w:top w:val="single" w:sz="4" w:space="0" w:color="C0C0C0"/>
              <w:left w:val="single" w:sz="4" w:space="0" w:color="C0C0C0"/>
              <w:bottom w:val="single" w:sz="4" w:space="0" w:color="C0C0C0"/>
              <w:right w:val="single" w:sz="4" w:space="0" w:color="C0C0C0"/>
            </w:tcBorders>
            <w:shd w:val="clear" w:color="000000" w:fill="D3DF82"/>
            <w:noWrap/>
            <w:vAlign w:val="bottom"/>
          </w:tcPr>
          <w:p w14:paraId="7EA2934F"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47.20%</w:t>
            </w:r>
          </w:p>
        </w:tc>
        <w:tc>
          <w:tcPr>
            <w:tcW w:w="455" w:type="pct"/>
            <w:tcBorders>
              <w:top w:val="single" w:sz="4" w:space="0" w:color="C0C0C0"/>
              <w:left w:val="single" w:sz="4" w:space="0" w:color="C0C0C0"/>
              <w:bottom w:val="single" w:sz="4" w:space="0" w:color="C0C0C0"/>
              <w:right w:val="single" w:sz="4" w:space="0" w:color="C0C0C0"/>
            </w:tcBorders>
            <w:shd w:val="clear" w:color="000000" w:fill="EFE784"/>
            <w:noWrap/>
            <w:vAlign w:val="bottom"/>
          </w:tcPr>
          <w:p w14:paraId="3DFA3FC6"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28.18%</w:t>
            </w:r>
          </w:p>
        </w:tc>
        <w:tc>
          <w:tcPr>
            <w:tcW w:w="454" w:type="pct"/>
            <w:tcBorders>
              <w:top w:val="single" w:sz="4" w:space="0" w:color="C0C0C0"/>
              <w:left w:val="single" w:sz="4" w:space="0" w:color="C0C0C0"/>
              <w:bottom w:val="single" w:sz="4" w:space="0" w:color="C0C0C0"/>
              <w:right w:val="single" w:sz="4" w:space="0" w:color="C0C0C0"/>
            </w:tcBorders>
            <w:shd w:val="clear" w:color="000000" w:fill="FEDA80"/>
            <w:noWrap/>
            <w:vAlign w:val="bottom"/>
          </w:tcPr>
          <w:p w14:paraId="446D755B"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11.86%</w:t>
            </w:r>
          </w:p>
        </w:tc>
        <w:tc>
          <w:tcPr>
            <w:tcW w:w="457" w:type="pct"/>
            <w:tcBorders>
              <w:top w:val="single" w:sz="4" w:space="0" w:color="C0C0C0"/>
              <w:left w:val="single" w:sz="4" w:space="0" w:color="C0C0C0"/>
              <w:bottom w:val="single" w:sz="4" w:space="0" w:color="C0C0C0"/>
              <w:right w:val="single" w:sz="4" w:space="0" w:color="C0C0C0"/>
            </w:tcBorders>
            <w:shd w:val="clear" w:color="000000" w:fill="FA9573"/>
            <w:noWrap/>
            <w:vAlign w:val="bottom"/>
          </w:tcPr>
          <w:p w14:paraId="363C0983"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-7.98%</w:t>
            </w:r>
          </w:p>
        </w:tc>
      </w:tr>
      <w:tr w:rsidR="00293360" w:rsidRPr="00B90332" w14:paraId="0FC1599A" w14:textId="77777777" w:rsidTr="00293360">
        <w:trPr>
          <w:trHeight w:val="600"/>
        </w:trPr>
        <w:tc>
          <w:tcPr>
            <w:tcW w:w="454" w:type="pct"/>
            <w:tcBorders>
              <w:top w:val="nil"/>
              <w:left w:val="nil"/>
              <w:bottom w:val="single" w:sz="4" w:space="0" w:color="C0C0C0"/>
              <w:right w:val="single" w:sz="4" w:space="0" w:color="C0C0C0"/>
            </w:tcBorders>
            <w:shd w:val="clear" w:color="000000" w:fill="D7F7F6"/>
            <w:hideMark/>
          </w:tcPr>
          <w:p w14:paraId="669DD183" w14:textId="77777777" w:rsidR="00293360" w:rsidRPr="00F63900" w:rsidRDefault="00293360" w:rsidP="008F03DF">
            <w:pPr>
              <w:spacing w:before="120" w:after="120" w:line="240" w:lineRule="atLeast"/>
              <w:rPr>
                <w:rFonts w:ascii="Arial" w:eastAsia="Times New Roman" w:hAnsi="Arial" w:cs="Arial"/>
                <w:sz w:val="21"/>
                <w:szCs w:val="21"/>
                <w:lang w:eastAsia="en-NZ"/>
              </w:rPr>
            </w:pPr>
            <w:r w:rsidRPr="00F63900">
              <w:rPr>
                <w:rFonts w:ascii="Arial" w:eastAsia="Times New Roman" w:hAnsi="Arial" w:cs="Arial"/>
                <w:sz w:val="21"/>
                <w:szCs w:val="21"/>
                <w:lang w:eastAsia="en-NZ"/>
              </w:rPr>
              <w:t>Bay of Plenty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CBC7B"/>
            <w:noWrap/>
            <w:vAlign w:val="bottom"/>
          </w:tcPr>
          <w:p w14:paraId="4F7B7085"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3.09%</w:t>
            </w:r>
          </w:p>
        </w:tc>
        <w:tc>
          <w:tcPr>
            <w:tcW w:w="455" w:type="pct"/>
            <w:tcBorders>
              <w:top w:val="single" w:sz="4" w:space="0" w:color="C0C0C0"/>
              <w:left w:val="single" w:sz="4" w:space="0" w:color="C0C0C0"/>
              <w:bottom w:val="single" w:sz="4" w:space="0" w:color="C0C0C0"/>
              <w:right w:val="single" w:sz="4" w:space="0" w:color="C0C0C0"/>
            </w:tcBorders>
            <w:shd w:val="clear" w:color="000000" w:fill="FBA075"/>
            <w:noWrap/>
            <w:vAlign w:val="bottom"/>
          </w:tcPr>
          <w:p w14:paraId="4D9887AA"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-4.82%</w:t>
            </w:r>
          </w:p>
        </w:tc>
        <w:tc>
          <w:tcPr>
            <w:tcW w:w="454" w:type="pct"/>
            <w:tcBorders>
              <w:top w:val="single" w:sz="4" w:space="0" w:color="C0C0C0"/>
              <w:left w:val="single" w:sz="4" w:space="0" w:color="C0C0C0"/>
              <w:bottom w:val="single" w:sz="4" w:space="0" w:color="C0C0C0"/>
              <w:right w:val="single" w:sz="4" w:space="0" w:color="C0C0C0"/>
            </w:tcBorders>
            <w:shd w:val="clear" w:color="000000" w:fill="FBEA84"/>
            <w:noWrap/>
            <w:vAlign w:val="bottom"/>
          </w:tcPr>
          <w:p w14:paraId="6F996D6E"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20.00%</w:t>
            </w:r>
          </w:p>
        </w:tc>
        <w:tc>
          <w:tcPr>
            <w:tcW w:w="454" w:type="pct"/>
            <w:tcBorders>
              <w:top w:val="single" w:sz="4" w:space="0" w:color="C0C0C0"/>
              <w:left w:val="single" w:sz="4" w:space="0" w:color="C0C0C0"/>
              <w:bottom w:val="single" w:sz="4" w:space="0" w:color="C0C0C0"/>
              <w:right w:val="single" w:sz="4" w:space="0" w:color="C0C0C0"/>
            </w:tcBorders>
            <w:shd w:val="clear" w:color="000000" w:fill="F6E984"/>
            <w:noWrap/>
            <w:vAlign w:val="bottom"/>
          </w:tcPr>
          <w:p w14:paraId="6C080BA5"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23.02%</w:t>
            </w:r>
          </w:p>
        </w:tc>
        <w:tc>
          <w:tcPr>
            <w:tcW w:w="455" w:type="pct"/>
            <w:tcBorders>
              <w:top w:val="single" w:sz="4" w:space="0" w:color="C0C0C0"/>
              <w:left w:val="single" w:sz="4" w:space="0" w:color="C0C0C0"/>
              <w:bottom w:val="single" w:sz="4" w:space="0" w:color="C0C0C0"/>
              <w:right w:val="single" w:sz="4" w:space="0" w:color="C0C0C0"/>
            </w:tcBorders>
            <w:shd w:val="clear" w:color="000000" w:fill="D2DE82"/>
            <w:noWrap/>
            <w:vAlign w:val="bottom"/>
          </w:tcPr>
          <w:p w14:paraId="0BB3AE5C"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48.08%</w:t>
            </w:r>
          </w:p>
        </w:tc>
        <w:tc>
          <w:tcPr>
            <w:tcW w:w="454" w:type="pct"/>
            <w:tcBorders>
              <w:top w:val="single" w:sz="4" w:space="0" w:color="C0C0C0"/>
              <w:left w:val="single" w:sz="4" w:space="0" w:color="C0C0C0"/>
              <w:bottom w:val="single" w:sz="4" w:space="0" w:color="C0C0C0"/>
              <w:right w:val="single" w:sz="4" w:space="0" w:color="C0C0C0"/>
            </w:tcBorders>
            <w:shd w:val="clear" w:color="000000" w:fill="FEEA83"/>
            <w:noWrap/>
            <w:vAlign w:val="bottom"/>
          </w:tcPr>
          <w:p w14:paraId="0734A4D1"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16.45%</w:t>
            </w:r>
          </w:p>
        </w:tc>
        <w:tc>
          <w:tcPr>
            <w:tcW w:w="454" w:type="pct"/>
            <w:tcBorders>
              <w:top w:val="single" w:sz="4" w:space="0" w:color="C0C0C0"/>
              <w:left w:val="single" w:sz="4" w:space="0" w:color="C0C0C0"/>
              <w:bottom w:val="single" w:sz="4" w:space="0" w:color="C0C0C0"/>
              <w:right w:val="single" w:sz="4" w:space="0" w:color="C0C0C0"/>
            </w:tcBorders>
            <w:shd w:val="clear" w:color="000000" w:fill="CCDD82"/>
            <w:noWrap/>
            <w:vAlign w:val="bottom"/>
          </w:tcPr>
          <w:p w14:paraId="09A38B8B"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52.21%</w:t>
            </w:r>
          </w:p>
        </w:tc>
        <w:tc>
          <w:tcPr>
            <w:tcW w:w="455" w:type="pct"/>
            <w:tcBorders>
              <w:top w:val="single" w:sz="4" w:space="0" w:color="C0C0C0"/>
              <w:left w:val="single" w:sz="4" w:space="0" w:color="C0C0C0"/>
              <w:bottom w:val="single" w:sz="4" w:space="0" w:color="C0C0C0"/>
              <w:right w:val="single" w:sz="4" w:space="0" w:color="C0C0C0"/>
            </w:tcBorders>
            <w:shd w:val="clear" w:color="000000" w:fill="DCE182"/>
            <w:noWrap/>
            <w:vAlign w:val="bottom"/>
          </w:tcPr>
          <w:p w14:paraId="622D0E03"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41.30%</w:t>
            </w:r>
          </w:p>
        </w:tc>
        <w:tc>
          <w:tcPr>
            <w:tcW w:w="454" w:type="pct"/>
            <w:tcBorders>
              <w:top w:val="single" w:sz="4" w:space="0" w:color="C0C0C0"/>
              <w:left w:val="single" w:sz="4" w:space="0" w:color="C0C0C0"/>
              <w:bottom w:val="single" w:sz="4" w:space="0" w:color="C0C0C0"/>
              <w:right w:val="single" w:sz="4" w:space="0" w:color="C0C0C0"/>
            </w:tcBorders>
            <w:shd w:val="clear" w:color="000000" w:fill="FDC87D"/>
            <w:noWrap/>
            <w:vAlign w:val="bottom"/>
          </w:tcPr>
          <w:p w14:paraId="757F83F8"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6.58%</w:t>
            </w:r>
          </w:p>
        </w:tc>
        <w:tc>
          <w:tcPr>
            <w:tcW w:w="457" w:type="pct"/>
            <w:tcBorders>
              <w:top w:val="single" w:sz="4" w:space="0" w:color="C0C0C0"/>
              <w:left w:val="single" w:sz="4" w:space="0" w:color="C0C0C0"/>
              <w:bottom w:val="single" w:sz="4" w:space="0" w:color="C0C0C0"/>
              <w:right w:val="single" w:sz="4" w:space="0" w:color="C0C0C0"/>
            </w:tcBorders>
            <w:shd w:val="clear" w:color="000000" w:fill="FA9673"/>
            <w:noWrap/>
            <w:vAlign w:val="bottom"/>
          </w:tcPr>
          <w:p w14:paraId="37F6BD1A"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-7.94%</w:t>
            </w:r>
          </w:p>
        </w:tc>
      </w:tr>
      <w:tr w:rsidR="00293360" w:rsidRPr="00B90332" w14:paraId="6DFF3A86" w14:textId="77777777" w:rsidTr="00293360">
        <w:trPr>
          <w:trHeight w:val="400"/>
        </w:trPr>
        <w:tc>
          <w:tcPr>
            <w:tcW w:w="454" w:type="pct"/>
            <w:tcBorders>
              <w:top w:val="nil"/>
              <w:left w:val="nil"/>
              <w:bottom w:val="single" w:sz="4" w:space="0" w:color="C0C0C0"/>
              <w:right w:val="single" w:sz="4" w:space="0" w:color="C0C0C0"/>
            </w:tcBorders>
            <w:shd w:val="clear" w:color="000000" w:fill="D7F7F6"/>
            <w:hideMark/>
          </w:tcPr>
          <w:p w14:paraId="0797238B" w14:textId="77777777" w:rsidR="00293360" w:rsidRPr="00F63900" w:rsidRDefault="00293360" w:rsidP="008F03DF">
            <w:pPr>
              <w:spacing w:before="120" w:after="120" w:line="240" w:lineRule="atLeast"/>
              <w:rPr>
                <w:rFonts w:ascii="Arial" w:eastAsia="Times New Roman" w:hAnsi="Arial" w:cs="Arial"/>
                <w:sz w:val="21"/>
                <w:szCs w:val="21"/>
                <w:lang w:eastAsia="en-NZ"/>
              </w:rPr>
            </w:pPr>
            <w:r w:rsidRPr="00F63900">
              <w:rPr>
                <w:rFonts w:ascii="Arial" w:eastAsia="Times New Roman" w:hAnsi="Arial" w:cs="Arial"/>
                <w:sz w:val="21"/>
                <w:szCs w:val="21"/>
                <w:lang w:eastAsia="en-NZ"/>
              </w:rPr>
              <w:t>Gisborne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EE582"/>
            <w:noWrap/>
            <w:vAlign w:val="bottom"/>
          </w:tcPr>
          <w:p w14:paraId="4C3B409F"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15.00%</w:t>
            </w:r>
          </w:p>
        </w:tc>
        <w:tc>
          <w:tcPr>
            <w:tcW w:w="455" w:type="pct"/>
            <w:tcBorders>
              <w:top w:val="single" w:sz="4" w:space="0" w:color="C0C0C0"/>
              <w:left w:val="single" w:sz="4" w:space="0" w:color="C0C0C0"/>
              <w:bottom w:val="single" w:sz="4" w:space="0" w:color="C0C0C0"/>
              <w:right w:val="single" w:sz="4" w:space="0" w:color="C0C0C0"/>
            </w:tcBorders>
            <w:shd w:val="clear" w:color="000000" w:fill="F86A6B"/>
            <w:noWrap/>
            <w:vAlign w:val="bottom"/>
          </w:tcPr>
          <w:p w14:paraId="182AE549"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-20.41%</w:t>
            </w:r>
          </w:p>
        </w:tc>
        <w:tc>
          <w:tcPr>
            <w:tcW w:w="454" w:type="pct"/>
            <w:tcBorders>
              <w:top w:val="single" w:sz="4" w:space="0" w:color="C0C0C0"/>
              <w:left w:val="single" w:sz="4" w:space="0" w:color="C0C0C0"/>
              <w:bottom w:val="single" w:sz="4" w:space="0" w:color="C0C0C0"/>
              <w:right w:val="single" w:sz="4" w:space="0" w:color="C0C0C0"/>
            </w:tcBorders>
            <w:shd w:val="clear" w:color="000000" w:fill="FDD880"/>
            <w:noWrap/>
            <w:vAlign w:val="bottom"/>
          </w:tcPr>
          <w:p w14:paraId="40AAECF9"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11.16%</w:t>
            </w:r>
          </w:p>
        </w:tc>
        <w:tc>
          <w:tcPr>
            <w:tcW w:w="454" w:type="pct"/>
            <w:tcBorders>
              <w:top w:val="single" w:sz="4" w:space="0" w:color="C0C0C0"/>
              <w:left w:val="single" w:sz="4" w:space="0" w:color="C0C0C0"/>
              <w:bottom w:val="single" w:sz="4" w:space="0" w:color="C0C0C0"/>
              <w:right w:val="single" w:sz="4" w:space="0" w:color="C0C0C0"/>
            </w:tcBorders>
            <w:shd w:val="clear" w:color="000000" w:fill="FAEA84"/>
            <w:noWrap/>
            <w:vAlign w:val="bottom"/>
          </w:tcPr>
          <w:p w14:paraId="7851E2EC"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20.65%</w:t>
            </w:r>
          </w:p>
        </w:tc>
        <w:tc>
          <w:tcPr>
            <w:tcW w:w="455" w:type="pct"/>
            <w:tcBorders>
              <w:top w:val="single" w:sz="4" w:space="0" w:color="C0C0C0"/>
              <w:left w:val="single" w:sz="4" w:space="0" w:color="C0C0C0"/>
              <w:bottom w:val="single" w:sz="4" w:space="0" w:color="C0C0C0"/>
              <w:right w:val="single" w:sz="4" w:space="0" w:color="C0C0C0"/>
            </w:tcBorders>
            <w:shd w:val="clear" w:color="000000" w:fill="99CE7F"/>
            <w:noWrap/>
            <w:vAlign w:val="bottom"/>
          </w:tcPr>
          <w:p w14:paraId="787B6919"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87.50%</w:t>
            </w:r>
          </w:p>
        </w:tc>
        <w:tc>
          <w:tcPr>
            <w:tcW w:w="454" w:type="pct"/>
            <w:tcBorders>
              <w:top w:val="single" w:sz="4" w:space="0" w:color="C0C0C0"/>
              <w:left w:val="single" w:sz="4" w:space="0" w:color="C0C0C0"/>
              <w:bottom w:val="single" w:sz="4" w:space="0" w:color="C0C0C0"/>
              <w:right w:val="single" w:sz="4" w:space="0" w:color="C0C0C0"/>
            </w:tcBorders>
            <w:shd w:val="clear" w:color="000000" w:fill="E1E383"/>
            <w:noWrap/>
            <w:vAlign w:val="bottom"/>
          </w:tcPr>
          <w:p w14:paraId="317BDD8B"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37.50%</w:t>
            </w:r>
          </w:p>
        </w:tc>
        <w:tc>
          <w:tcPr>
            <w:tcW w:w="454" w:type="pct"/>
            <w:tcBorders>
              <w:top w:val="single" w:sz="4" w:space="0" w:color="C0C0C0"/>
              <w:left w:val="single" w:sz="4" w:space="0" w:color="C0C0C0"/>
              <w:bottom w:val="single" w:sz="4" w:space="0" w:color="C0C0C0"/>
              <w:right w:val="single" w:sz="4" w:space="0" w:color="C0C0C0"/>
            </w:tcBorders>
            <w:shd w:val="clear" w:color="000000" w:fill="EBE683"/>
            <w:noWrap/>
            <w:vAlign w:val="bottom"/>
          </w:tcPr>
          <w:p w14:paraId="77EEE1E7"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30.77%</w:t>
            </w:r>
          </w:p>
        </w:tc>
        <w:tc>
          <w:tcPr>
            <w:tcW w:w="455" w:type="pct"/>
            <w:tcBorders>
              <w:top w:val="single" w:sz="4" w:space="0" w:color="C0C0C0"/>
              <w:left w:val="single" w:sz="4" w:space="0" w:color="C0C0C0"/>
              <w:bottom w:val="single" w:sz="4" w:space="0" w:color="C0C0C0"/>
              <w:right w:val="single" w:sz="4" w:space="0" w:color="C0C0C0"/>
            </w:tcBorders>
            <w:shd w:val="clear" w:color="000000" w:fill="C4DA81"/>
            <w:noWrap/>
            <w:vAlign w:val="bottom"/>
          </w:tcPr>
          <w:p w14:paraId="225D54E7"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57.89%</w:t>
            </w:r>
          </w:p>
        </w:tc>
        <w:tc>
          <w:tcPr>
            <w:tcW w:w="454" w:type="pct"/>
            <w:tcBorders>
              <w:top w:val="single" w:sz="4" w:space="0" w:color="C0C0C0"/>
              <w:left w:val="single" w:sz="4" w:space="0" w:color="C0C0C0"/>
              <w:bottom w:val="single" w:sz="4" w:space="0" w:color="C0C0C0"/>
              <w:right w:val="single" w:sz="4" w:space="0" w:color="C0C0C0"/>
            </w:tcBorders>
            <w:shd w:val="clear" w:color="000000" w:fill="FCC27C"/>
            <w:noWrap/>
            <w:vAlign w:val="bottom"/>
          </w:tcPr>
          <w:p w14:paraId="718EF0AA"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4.78%</w:t>
            </w:r>
          </w:p>
        </w:tc>
        <w:tc>
          <w:tcPr>
            <w:tcW w:w="457" w:type="pct"/>
            <w:tcBorders>
              <w:top w:val="single" w:sz="4" w:space="0" w:color="C0C0C0"/>
              <w:left w:val="single" w:sz="4" w:space="0" w:color="C0C0C0"/>
              <w:bottom w:val="single" w:sz="4" w:space="0" w:color="C0C0C0"/>
              <w:right w:val="single" w:sz="4" w:space="0" w:color="C0C0C0"/>
            </w:tcBorders>
            <w:shd w:val="clear" w:color="000000" w:fill="FBA175"/>
            <w:noWrap/>
            <w:vAlign w:val="bottom"/>
          </w:tcPr>
          <w:p w14:paraId="13B3A64B"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-4.58%</w:t>
            </w:r>
          </w:p>
        </w:tc>
      </w:tr>
      <w:tr w:rsidR="00293360" w:rsidRPr="00B90332" w14:paraId="3820A8CD" w14:textId="77777777" w:rsidTr="00293360">
        <w:trPr>
          <w:trHeight w:val="400"/>
        </w:trPr>
        <w:tc>
          <w:tcPr>
            <w:tcW w:w="454" w:type="pct"/>
            <w:tcBorders>
              <w:top w:val="nil"/>
              <w:left w:val="nil"/>
              <w:bottom w:val="single" w:sz="4" w:space="0" w:color="C0C0C0"/>
              <w:right w:val="single" w:sz="4" w:space="0" w:color="C0C0C0"/>
            </w:tcBorders>
            <w:shd w:val="clear" w:color="000000" w:fill="D7F7F6"/>
            <w:hideMark/>
          </w:tcPr>
          <w:p w14:paraId="7375181E" w14:textId="77777777" w:rsidR="00293360" w:rsidRPr="00F63900" w:rsidRDefault="00293360" w:rsidP="008F03DF">
            <w:pPr>
              <w:spacing w:before="120" w:after="120" w:line="240" w:lineRule="atLeast"/>
              <w:rPr>
                <w:rFonts w:ascii="Arial" w:eastAsia="Times New Roman" w:hAnsi="Arial" w:cs="Arial"/>
                <w:sz w:val="21"/>
                <w:szCs w:val="21"/>
                <w:lang w:eastAsia="en-NZ"/>
              </w:rPr>
            </w:pPr>
            <w:r w:rsidRPr="00F63900">
              <w:rPr>
                <w:rFonts w:ascii="Arial" w:eastAsia="Times New Roman" w:hAnsi="Arial" w:cs="Arial"/>
                <w:sz w:val="21"/>
                <w:szCs w:val="21"/>
                <w:lang w:eastAsia="en-NZ"/>
              </w:rPr>
              <w:t>Hawke's Bay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CC07B"/>
            <w:noWrap/>
            <w:vAlign w:val="bottom"/>
          </w:tcPr>
          <w:p w14:paraId="6E2B3766"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4.43%</w:t>
            </w:r>
          </w:p>
        </w:tc>
        <w:tc>
          <w:tcPr>
            <w:tcW w:w="455" w:type="pct"/>
            <w:tcBorders>
              <w:top w:val="single" w:sz="4" w:space="0" w:color="C0C0C0"/>
              <w:left w:val="single" w:sz="4" w:space="0" w:color="C0C0C0"/>
              <w:bottom w:val="single" w:sz="4" w:space="0" w:color="C0C0C0"/>
              <w:right w:val="single" w:sz="4" w:space="0" w:color="C0C0C0"/>
            </w:tcBorders>
            <w:shd w:val="clear" w:color="000000" w:fill="F98570"/>
            <w:noWrap/>
            <w:vAlign w:val="bottom"/>
          </w:tcPr>
          <w:p w14:paraId="0AF931AE"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-12.85%</w:t>
            </w:r>
          </w:p>
        </w:tc>
        <w:tc>
          <w:tcPr>
            <w:tcW w:w="454" w:type="pct"/>
            <w:tcBorders>
              <w:top w:val="single" w:sz="4" w:space="0" w:color="C0C0C0"/>
              <w:left w:val="single" w:sz="4" w:space="0" w:color="C0C0C0"/>
              <w:bottom w:val="single" w:sz="4" w:space="0" w:color="C0C0C0"/>
              <w:right w:val="single" w:sz="4" w:space="0" w:color="C0C0C0"/>
            </w:tcBorders>
            <w:shd w:val="clear" w:color="000000" w:fill="F8E984"/>
            <w:noWrap/>
            <w:vAlign w:val="bottom"/>
          </w:tcPr>
          <w:p w14:paraId="14F389CD"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21.88%</w:t>
            </w:r>
          </w:p>
        </w:tc>
        <w:tc>
          <w:tcPr>
            <w:tcW w:w="454" w:type="pct"/>
            <w:tcBorders>
              <w:top w:val="single" w:sz="4" w:space="0" w:color="C0C0C0"/>
              <w:left w:val="single" w:sz="4" w:space="0" w:color="C0C0C0"/>
              <w:bottom w:val="single" w:sz="4" w:space="0" w:color="C0C0C0"/>
              <w:right w:val="single" w:sz="4" w:space="0" w:color="C0C0C0"/>
            </w:tcBorders>
            <w:shd w:val="clear" w:color="000000" w:fill="FEE883"/>
            <w:noWrap/>
            <w:vAlign w:val="bottom"/>
          </w:tcPr>
          <w:p w14:paraId="5DFA29AE"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15.70%</w:t>
            </w:r>
          </w:p>
        </w:tc>
        <w:tc>
          <w:tcPr>
            <w:tcW w:w="455" w:type="pct"/>
            <w:tcBorders>
              <w:top w:val="single" w:sz="4" w:space="0" w:color="C0C0C0"/>
              <w:left w:val="single" w:sz="4" w:space="0" w:color="C0C0C0"/>
              <w:bottom w:val="single" w:sz="4" w:space="0" w:color="C0C0C0"/>
              <w:right w:val="single" w:sz="4" w:space="0" w:color="C0C0C0"/>
            </w:tcBorders>
            <w:shd w:val="clear" w:color="000000" w:fill="BED981"/>
            <w:noWrap/>
            <w:vAlign w:val="bottom"/>
          </w:tcPr>
          <w:p w14:paraId="611DD87E"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61.82%</w:t>
            </w:r>
          </w:p>
        </w:tc>
        <w:tc>
          <w:tcPr>
            <w:tcW w:w="454" w:type="pct"/>
            <w:tcBorders>
              <w:top w:val="single" w:sz="4" w:space="0" w:color="C0C0C0"/>
              <w:left w:val="single" w:sz="4" w:space="0" w:color="C0C0C0"/>
              <w:bottom w:val="single" w:sz="4" w:space="0" w:color="C0C0C0"/>
              <w:right w:val="single" w:sz="4" w:space="0" w:color="C0C0C0"/>
            </w:tcBorders>
            <w:shd w:val="clear" w:color="000000" w:fill="E2E383"/>
            <w:noWrap/>
            <w:vAlign w:val="bottom"/>
          </w:tcPr>
          <w:p w14:paraId="51074346"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36.73%</w:t>
            </w:r>
          </w:p>
        </w:tc>
        <w:tc>
          <w:tcPr>
            <w:tcW w:w="454" w:type="pct"/>
            <w:tcBorders>
              <w:top w:val="single" w:sz="4" w:space="0" w:color="C0C0C0"/>
              <w:left w:val="single" w:sz="4" w:space="0" w:color="C0C0C0"/>
              <w:bottom w:val="single" w:sz="4" w:space="0" w:color="C0C0C0"/>
              <w:right w:val="single" w:sz="4" w:space="0" w:color="C0C0C0"/>
            </w:tcBorders>
            <w:shd w:val="clear" w:color="000000" w:fill="E3E383"/>
            <w:noWrap/>
            <w:vAlign w:val="bottom"/>
          </w:tcPr>
          <w:p w14:paraId="1EACA4AE"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36.56%</w:t>
            </w:r>
          </w:p>
        </w:tc>
        <w:tc>
          <w:tcPr>
            <w:tcW w:w="455" w:type="pct"/>
            <w:tcBorders>
              <w:top w:val="single" w:sz="4" w:space="0" w:color="C0C0C0"/>
              <w:left w:val="single" w:sz="4" w:space="0" w:color="C0C0C0"/>
              <w:bottom w:val="single" w:sz="4" w:space="0" w:color="C0C0C0"/>
              <w:right w:val="single" w:sz="4" w:space="0" w:color="C0C0C0"/>
            </w:tcBorders>
            <w:shd w:val="clear" w:color="000000" w:fill="E7E583"/>
            <w:noWrap/>
            <w:vAlign w:val="bottom"/>
          </w:tcPr>
          <w:p w14:paraId="60366F4A"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33.33%</w:t>
            </w:r>
          </w:p>
        </w:tc>
        <w:tc>
          <w:tcPr>
            <w:tcW w:w="454" w:type="pct"/>
            <w:tcBorders>
              <w:top w:val="single" w:sz="4" w:space="0" w:color="C0C0C0"/>
              <w:left w:val="single" w:sz="4" w:space="0" w:color="C0C0C0"/>
              <w:bottom w:val="single" w:sz="4" w:space="0" w:color="C0C0C0"/>
              <w:right w:val="single" w:sz="4" w:space="0" w:color="C0C0C0"/>
            </w:tcBorders>
            <w:shd w:val="clear" w:color="000000" w:fill="FDC97D"/>
            <w:noWrap/>
            <w:vAlign w:val="bottom"/>
          </w:tcPr>
          <w:p w14:paraId="2358600C"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6.74%</w:t>
            </w:r>
          </w:p>
        </w:tc>
        <w:tc>
          <w:tcPr>
            <w:tcW w:w="457" w:type="pct"/>
            <w:tcBorders>
              <w:top w:val="single" w:sz="4" w:space="0" w:color="C0C0C0"/>
              <w:left w:val="single" w:sz="4" w:space="0" w:color="C0C0C0"/>
              <w:bottom w:val="single" w:sz="4" w:space="0" w:color="C0C0C0"/>
              <w:right w:val="single" w:sz="4" w:space="0" w:color="C0C0C0"/>
            </w:tcBorders>
            <w:shd w:val="clear" w:color="000000" w:fill="FA9072"/>
            <w:noWrap/>
            <w:vAlign w:val="bottom"/>
          </w:tcPr>
          <w:p w14:paraId="106970FF"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-9.67%</w:t>
            </w:r>
          </w:p>
        </w:tc>
      </w:tr>
      <w:tr w:rsidR="00293360" w:rsidRPr="00B90332" w14:paraId="1D7E3864" w14:textId="77777777" w:rsidTr="00293360">
        <w:trPr>
          <w:trHeight w:val="400"/>
        </w:trPr>
        <w:tc>
          <w:tcPr>
            <w:tcW w:w="454" w:type="pct"/>
            <w:tcBorders>
              <w:top w:val="nil"/>
              <w:left w:val="nil"/>
              <w:bottom w:val="single" w:sz="4" w:space="0" w:color="C0C0C0"/>
              <w:right w:val="single" w:sz="4" w:space="0" w:color="C0C0C0"/>
            </w:tcBorders>
            <w:shd w:val="clear" w:color="000000" w:fill="D7F7F6"/>
            <w:hideMark/>
          </w:tcPr>
          <w:p w14:paraId="57F882DC" w14:textId="77777777" w:rsidR="00293360" w:rsidRPr="00F63900" w:rsidRDefault="00293360" w:rsidP="008F03DF">
            <w:pPr>
              <w:spacing w:before="120" w:after="120" w:line="240" w:lineRule="atLeast"/>
              <w:rPr>
                <w:rFonts w:ascii="Arial" w:eastAsia="Times New Roman" w:hAnsi="Arial" w:cs="Arial"/>
                <w:sz w:val="21"/>
                <w:szCs w:val="21"/>
                <w:lang w:eastAsia="en-NZ"/>
              </w:rPr>
            </w:pPr>
            <w:r w:rsidRPr="00F63900">
              <w:rPr>
                <w:rFonts w:ascii="Arial" w:eastAsia="Times New Roman" w:hAnsi="Arial" w:cs="Arial"/>
                <w:sz w:val="21"/>
                <w:szCs w:val="21"/>
                <w:lang w:eastAsia="en-NZ"/>
              </w:rPr>
              <w:t>Taranaki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EEA83"/>
            <w:noWrap/>
            <w:vAlign w:val="bottom"/>
          </w:tcPr>
          <w:p w14:paraId="73C10936"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16.45%</w:t>
            </w:r>
          </w:p>
        </w:tc>
        <w:tc>
          <w:tcPr>
            <w:tcW w:w="455" w:type="pct"/>
            <w:tcBorders>
              <w:top w:val="single" w:sz="4" w:space="0" w:color="C0C0C0"/>
              <w:left w:val="single" w:sz="4" w:space="0" w:color="C0C0C0"/>
              <w:bottom w:val="single" w:sz="4" w:space="0" w:color="C0C0C0"/>
              <w:right w:val="single" w:sz="4" w:space="0" w:color="C0C0C0"/>
            </w:tcBorders>
            <w:shd w:val="clear" w:color="000000" w:fill="FA9D75"/>
            <w:noWrap/>
            <w:vAlign w:val="bottom"/>
          </w:tcPr>
          <w:p w14:paraId="4F8B4DE8"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-5.73%</w:t>
            </w:r>
          </w:p>
        </w:tc>
        <w:tc>
          <w:tcPr>
            <w:tcW w:w="454" w:type="pct"/>
            <w:tcBorders>
              <w:top w:val="single" w:sz="4" w:space="0" w:color="C0C0C0"/>
              <w:left w:val="single" w:sz="4" w:space="0" w:color="C0C0C0"/>
              <w:bottom w:val="single" w:sz="4" w:space="0" w:color="C0C0C0"/>
              <w:right w:val="single" w:sz="4" w:space="0" w:color="C0C0C0"/>
            </w:tcBorders>
            <w:shd w:val="clear" w:color="000000" w:fill="F0E784"/>
            <w:noWrap/>
            <w:vAlign w:val="bottom"/>
          </w:tcPr>
          <w:p w14:paraId="2E38AFB3"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27.03%</w:t>
            </w:r>
          </w:p>
        </w:tc>
        <w:tc>
          <w:tcPr>
            <w:tcW w:w="454" w:type="pct"/>
            <w:tcBorders>
              <w:top w:val="single" w:sz="4" w:space="0" w:color="C0C0C0"/>
              <w:left w:val="single" w:sz="4" w:space="0" w:color="C0C0C0"/>
              <w:bottom w:val="single" w:sz="4" w:space="0" w:color="C0C0C0"/>
              <w:right w:val="single" w:sz="4" w:space="0" w:color="C0C0C0"/>
            </w:tcBorders>
            <w:shd w:val="clear" w:color="000000" w:fill="F4E884"/>
            <w:noWrap/>
            <w:vAlign w:val="bottom"/>
          </w:tcPr>
          <w:p w14:paraId="4FB92784"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24.73%</w:t>
            </w:r>
          </w:p>
        </w:tc>
        <w:tc>
          <w:tcPr>
            <w:tcW w:w="455" w:type="pct"/>
            <w:tcBorders>
              <w:top w:val="single" w:sz="4" w:space="0" w:color="C0C0C0"/>
              <w:left w:val="single" w:sz="4" w:space="0" w:color="C0C0C0"/>
              <w:bottom w:val="single" w:sz="4" w:space="0" w:color="C0C0C0"/>
              <w:right w:val="single" w:sz="4" w:space="0" w:color="C0C0C0"/>
            </w:tcBorders>
            <w:shd w:val="clear" w:color="000000" w:fill="A4D17F"/>
            <w:noWrap/>
            <w:vAlign w:val="bottom"/>
          </w:tcPr>
          <w:p w14:paraId="0D2DC35B"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80.00%</w:t>
            </w:r>
          </w:p>
        </w:tc>
        <w:tc>
          <w:tcPr>
            <w:tcW w:w="454" w:type="pct"/>
            <w:tcBorders>
              <w:top w:val="single" w:sz="4" w:space="0" w:color="C0C0C0"/>
              <w:left w:val="single" w:sz="4" w:space="0" w:color="C0C0C0"/>
              <w:bottom w:val="single" w:sz="4" w:space="0" w:color="C0C0C0"/>
              <w:right w:val="single" w:sz="4" w:space="0" w:color="C0C0C0"/>
            </w:tcBorders>
            <w:shd w:val="clear" w:color="000000" w:fill="EDE683"/>
            <w:noWrap/>
            <w:vAlign w:val="bottom"/>
          </w:tcPr>
          <w:p w14:paraId="2FAC29B7"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29.63%</w:t>
            </w:r>
          </w:p>
        </w:tc>
        <w:tc>
          <w:tcPr>
            <w:tcW w:w="454" w:type="pct"/>
            <w:tcBorders>
              <w:top w:val="single" w:sz="4" w:space="0" w:color="C0C0C0"/>
              <w:left w:val="single" w:sz="4" w:space="0" w:color="C0C0C0"/>
              <w:bottom w:val="single" w:sz="4" w:space="0" w:color="C0C0C0"/>
              <w:right w:val="single" w:sz="4" w:space="0" w:color="C0C0C0"/>
            </w:tcBorders>
            <w:shd w:val="clear" w:color="000000" w:fill="CFDE82"/>
            <w:noWrap/>
            <w:vAlign w:val="bottom"/>
          </w:tcPr>
          <w:p w14:paraId="7AC91909"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50.00%</w:t>
            </w:r>
          </w:p>
        </w:tc>
        <w:tc>
          <w:tcPr>
            <w:tcW w:w="455" w:type="pct"/>
            <w:tcBorders>
              <w:top w:val="single" w:sz="4" w:space="0" w:color="C0C0C0"/>
              <w:left w:val="single" w:sz="4" w:space="0" w:color="C0C0C0"/>
              <w:bottom w:val="single" w:sz="4" w:space="0" w:color="C0C0C0"/>
              <w:right w:val="single" w:sz="4" w:space="0" w:color="C0C0C0"/>
            </w:tcBorders>
            <w:shd w:val="clear" w:color="000000" w:fill="E5E483"/>
            <w:noWrap/>
            <w:vAlign w:val="bottom"/>
          </w:tcPr>
          <w:p w14:paraId="0FD25A05"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35.00%</w:t>
            </w:r>
          </w:p>
        </w:tc>
        <w:tc>
          <w:tcPr>
            <w:tcW w:w="454" w:type="pct"/>
            <w:tcBorders>
              <w:top w:val="single" w:sz="4" w:space="0" w:color="C0C0C0"/>
              <w:left w:val="single" w:sz="4" w:space="0" w:color="C0C0C0"/>
              <w:bottom w:val="single" w:sz="4" w:space="0" w:color="C0C0C0"/>
              <w:right w:val="single" w:sz="4" w:space="0" w:color="C0C0C0"/>
            </w:tcBorders>
            <w:shd w:val="clear" w:color="000000" w:fill="FEE282"/>
            <w:noWrap/>
            <w:vAlign w:val="bottom"/>
          </w:tcPr>
          <w:p w14:paraId="13D42D16"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14.07%</w:t>
            </w:r>
          </w:p>
        </w:tc>
        <w:tc>
          <w:tcPr>
            <w:tcW w:w="457" w:type="pct"/>
            <w:tcBorders>
              <w:top w:val="single" w:sz="4" w:space="0" w:color="C0C0C0"/>
              <w:left w:val="single" w:sz="4" w:space="0" w:color="C0C0C0"/>
              <w:bottom w:val="single" w:sz="4" w:space="0" w:color="C0C0C0"/>
              <w:right w:val="single" w:sz="4" w:space="0" w:color="C0C0C0"/>
            </w:tcBorders>
            <w:shd w:val="clear" w:color="000000" w:fill="FBA376"/>
            <w:noWrap/>
            <w:vAlign w:val="bottom"/>
          </w:tcPr>
          <w:p w14:paraId="4DD27278"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-4.06%</w:t>
            </w:r>
          </w:p>
        </w:tc>
      </w:tr>
      <w:tr w:rsidR="00293360" w:rsidRPr="00B90332" w14:paraId="4AD58EED" w14:textId="77777777" w:rsidTr="00293360">
        <w:trPr>
          <w:trHeight w:val="600"/>
        </w:trPr>
        <w:tc>
          <w:tcPr>
            <w:tcW w:w="454" w:type="pct"/>
            <w:tcBorders>
              <w:top w:val="nil"/>
              <w:left w:val="nil"/>
              <w:bottom w:val="single" w:sz="4" w:space="0" w:color="C0C0C0"/>
              <w:right w:val="single" w:sz="4" w:space="0" w:color="C0C0C0"/>
            </w:tcBorders>
            <w:shd w:val="clear" w:color="000000" w:fill="D7F7F6"/>
            <w:hideMark/>
          </w:tcPr>
          <w:p w14:paraId="0E462328" w14:textId="77777777" w:rsidR="00293360" w:rsidRPr="00F63900" w:rsidRDefault="00293360" w:rsidP="008F03DF">
            <w:pPr>
              <w:spacing w:before="120" w:after="120" w:line="240" w:lineRule="atLeast"/>
              <w:rPr>
                <w:rFonts w:ascii="Arial" w:eastAsia="Times New Roman" w:hAnsi="Arial" w:cs="Arial"/>
                <w:sz w:val="21"/>
                <w:szCs w:val="21"/>
                <w:lang w:eastAsia="en-NZ"/>
              </w:rPr>
            </w:pPr>
            <w:r w:rsidRPr="00F63900">
              <w:rPr>
                <w:rFonts w:ascii="Arial" w:eastAsia="Times New Roman" w:hAnsi="Arial" w:cs="Arial"/>
                <w:sz w:val="21"/>
                <w:szCs w:val="21"/>
                <w:lang w:eastAsia="en-NZ"/>
              </w:rPr>
              <w:t>Manawatu-Wanganui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CBC7B"/>
            <w:noWrap/>
            <w:vAlign w:val="bottom"/>
          </w:tcPr>
          <w:p w14:paraId="33BF6C4E"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3.10%</w:t>
            </w:r>
          </w:p>
        </w:tc>
        <w:tc>
          <w:tcPr>
            <w:tcW w:w="455" w:type="pct"/>
            <w:tcBorders>
              <w:top w:val="single" w:sz="4" w:space="0" w:color="C0C0C0"/>
              <w:left w:val="single" w:sz="4" w:space="0" w:color="C0C0C0"/>
              <w:bottom w:val="single" w:sz="4" w:space="0" w:color="C0C0C0"/>
              <w:right w:val="single" w:sz="4" w:space="0" w:color="C0C0C0"/>
            </w:tcBorders>
            <w:shd w:val="clear" w:color="000000" w:fill="F98570"/>
            <w:noWrap/>
            <w:vAlign w:val="bottom"/>
          </w:tcPr>
          <w:p w14:paraId="51AABDB5"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-12.65%</w:t>
            </w:r>
          </w:p>
        </w:tc>
        <w:tc>
          <w:tcPr>
            <w:tcW w:w="454" w:type="pct"/>
            <w:tcBorders>
              <w:top w:val="single" w:sz="4" w:space="0" w:color="C0C0C0"/>
              <w:left w:val="single" w:sz="4" w:space="0" w:color="C0C0C0"/>
              <w:bottom w:val="single" w:sz="4" w:space="0" w:color="C0C0C0"/>
              <w:right w:val="single" w:sz="4" w:space="0" w:color="C0C0C0"/>
            </w:tcBorders>
            <w:shd w:val="clear" w:color="000000" w:fill="F7E984"/>
            <w:noWrap/>
            <w:vAlign w:val="bottom"/>
          </w:tcPr>
          <w:p w14:paraId="1E3CACA3"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22.12%</w:t>
            </w:r>
          </w:p>
        </w:tc>
        <w:tc>
          <w:tcPr>
            <w:tcW w:w="454" w:type="pct"/>
            <w:tcBorders>
              <w:top w:val="single" w:sz="4" w:space="0" w:color="C0C0C0"/>
              <w:left w:val="single" w:sz="4" w:space="0" w:color="C0C0C0"/>
              <w:bottom w:val="single" w:sz="4" w:space="0" w:color="C0C0C0"/>
              <w:right w:val="single" w:sz="4" w:space="0" w:color="C0C0C0"/>
            </w:tcBorders>
            <w:shd w:val="clear" w:color="000000" w:fill="FDD780"/>
            <w:noWrap/>
            <w:vAlign w:val="bottom"/>
          </w:tcPr>
          <w:p w14:paraId="18B7A190"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10.93%</w:t>
            </w:r>
          </w:p>
        </w:tc>
        <w:tc>
          <w:tcPr>
            <w:tcW w:w="455" w:type="pct"/>
            <w:tcBorders>
              <w:top w:val="single" w:sz="4" w:space="0" w:color="C0C0C0"/>
              <w:left w:val="single" w:sz="4" w:space="0" w:color="C0C0C0"/>
              <w:bottom w:val="single" w:sz="4" w:space="0" w:color="C0C0C0"/>
              <w:right w:val="single" w:sz="4" w:space="0" w:color="C0C0C0"/>
            </w:tcBorders>
            <w:shd w:val="clear" w:color="000000" w:fill="ECE683"/>
            <w:noWrap/>
            <w:vAlign w:val="bottom"/>
          </w:tcPr>
          <w:p w14:paraId="57BDDB91"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30.22%</w:t>
            </w:r>
          </w:p>
        </w:tc>
        <w:tc>
          <w:tcPr>
            <w:tcW w:w="454" w:type="pct"/>
            <w:tcBorders>
              <w:top w:val="single" w:sz="4" w:space="0" w:color="C0C0C0"/>
              <w:left w:val="single" w:sz="4" w:space="0" w:color="C0C0C0"/>
              <w:bottom w:val="single" w:sz="4" w:space="0" w:color="C0C0C0"/>
              <w:right w:val="single" w:sz="4" w:space="0" w:color="C0C0C0"/>
            </w:tcBorders>
            <w:shd w:val="clear" w:color="000000" w:fill="FEDD81"/>
            <w:noWrap/>
            <w:vAlign w:val="bottom"/>
          </w:tcPr>
          <w:p w14:paraId="299D23BE"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12.58%</w:t>
            </w:r>
          </w:p>
        </w:tc>
        <w:tc>
          <w:tcPr>
            <w:tcW w:w="454" w:type="pct"/>
            <w:tcBorders>
              <w:top w:val="single" w:sz="4" w:space="0" w:color="C0C0C0"/>
              <w:left w:val="single" w:sz="4" w:space="0" w:color="C0C0C0"/>
              <w:bottom w:val="single" w:sz="4" w:space="0" w:color="C0C0C0"/>
              <w:right w:val="single" w:sz="4" w:space="0" w:color="C0C0C0"/>
            </w:tcBorders>
            <w:shd w:val="clear" w:color="000000" w:fill="CADC81"/>
            <w:noWrap/>
            <w:vAlign w:val="bottom"/>
          </w:tcPr>
          <w:p w14:paraId="0C70F03E"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53.54%</w:t>
            </w:r>
          </w:p>
        </w:tc>
        <w:tc>
          <w:tcPr>
            <w:tcW w:w="455" w:type="pct"/>
            <w:tcBorders>
              <w:top w:val="single" w:sz="4" w:space="0" w:color="C0C0C0"/>
              <w:left w:val="single" w:sz="4" w:space="0" w:color="C0C0C0"/>
              <w:bottom w:val="single" w:sz="4" w:space="0" w:color="C0C0C0"/>
              <w:right w:val="single" w:sz="4" w:space="0" w:color="C0C0C0"/>
            </w:tcBorders>
            <w:shd w:val="clear" w:color="000000" w:fill="EEE784"/>
            <w:noWrap/>
            <w:vAlign w:val="bottom"/>
          </w:tcPr>
          <w:p w14:paraId="63BD212F"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28.57%</w:t>
            </w:r>
          </w:p>
        </w:tc>
        <w:tc>
          <w:tcPr>
            <w:tcW w:w="454" w:type="pct"/>
            <w:tcBorders>
              <w:top w:val="single" w:sz="4" w:space="0" w:color="C0C0C0"/>
              <w:left w:val="single" w:sz="4" w:space="0" w:color="C0C0C0"/>
              <w:bottom w:val="single" w:sz="4" w:space="0" w:color="C0C0C0"/>
              <w:right w:val="single" w:sz="4" w:space="0" w:color="C0C0C0"/>
            </w:tcBorders>
            <w:shd w:val="clear" w:color="000000" w:fill="FCC07B"/>
            <w:noWrap/>
            <w:vAlign w:val="bottom"/>
          </w:tcPr>
          <w:p w14:paraId="69AEFDC9"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4.33%</w:t>
            </w:r>
          </w:p>
        </w:tc>
        <w:tc>
          <w:tcPr>
            <w:tcW w:w="457" w:type="pct"/>
            <w:tcBorders>
              <w:top w:val="single" w:sz="4" w:space="0" w:color="C0C0C0"/>
              <w:left w:val="single" w:sz="4" w:space="0" w:color="C0C0C0"/>
              <w:bottom w:val="single" w:sz="4" w:space="0" w:color="C0C0C0"/>
              <w:right w:val="single" w:sz="4" w:space="0" w:color="C0C0C0"/>
            </w:tcBorders>
            <w:shd w:val="clear" w:color="000000" w:fill="F98871"/>
            <w:noWrap/>
            <w:vAlign w:val="bottom"/>
          </w:tcPr>
          <w:p w14:paraId="794AEF91"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-11.71%</w:t>
            </w:r>
          </w:p>
        </w:tc>
      </w:tr>
      <w:tr w:rsidR="00293360" w:rsidRPr="00B90332" w14:paraId="294D0562" w14:textId="77777777" w:rsidTr="00293360">
        <w:trPr>
          <w:trHeight w:val="400"/>
        </w:trPr>
        <w:tc>
          <w:tcPr>
            <w:tcW w:w="454" w:type="pct"/>
            <w:tcBorders>
              <w:top w:val="nil"/>
              <w:left w:val="nil"/>
              <w:bottom w:val="single" w:sz="4" w:space="0" w:color="C0C0C0"/>
              <w:right w:val="single" w:sz="4" w:space="0" w:color="C0C0C0"/>
            </w:tcBorders>
            <w:shd w:val="clear" w:color="000000" w:fill="D7F7F6"/>
            <w:hideMark/>
          </w:tcPr>
          <w:p w14:paraId="7DD900AC" w14:textId="77777777" w:rsidR="00293360" w:rsidRPr="00F63900" w:rsidRDefault="00293360" w:rsidP="008F03DF">
            <w:pPr>
              <w:spacing w:before="120" w:after="120" w:line="240" w:lineRule="atLeast"/>
              <w:rPr>
                <w:rFonts w:ascii="Arial" w:eastAsia="Times New Roman" w:hAnsi="Arial" w:cs="Arial"/>
                <w:sz w:val="21"/>
                <w:szCs w:val="21"/>
                <w:lang w:eastAsia="en-NZ"/>
              </w:rPr>
            </w:pPr>
            <w:r w:rsidRPr="00F63900">
              <w:rPr>
                <w:rFonts w:ascii="Arial" w:eastAsia="Times New Roman" w:hAnsi="Arial" w:cs="Arial"/>
                <w:sz w:val="21"/>
                <w:szCs w:val="21"/>
                <w:lang w:eastAsia="en-NZ"/>
              </w:rPr>
              <w:t>Wellington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CB479"/>
            <w:noWrap/>
            <w:vAlign w:val="bottom"/>
          </w:tcPr>
          <w:p w14:paraId="08FBB9E1"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0.90%</w:t>
            </w:r>
          </w:p>
        </w:tc>
        <w:tc>
          <w:tcPr>
            <w:tcW w:w="455" w:type="pct"/>
            <w:tcBorders>
              <w:top w:val="single" w:sz="4" w:space="0" w:color="C0C0C0"/>
              <w:left w:val="single" w:sz="4" w:space="0" w:color="C0C0C0"/>
              <w:bottom w:val="single" w:sz="4" w:space="0" w:color="C0C0C0"/>
              <w:right w:val="single" w:sz="4" w:space="0" w:color="C0C0C0"/>
            </w:tcBorders>
            <w:shd w:val="clear" w:color="000000" w:fill="FBA175"/>
            <w:noWrap/>
            <w:vAlign w:val="bottom"/>
          </w:tcPr>
          <w:p w14:paraId="3C1695BA"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-4.68%</w:t>
            </w:r>
          </w:p>
        </w:tc>
        <w:tc>
          <w:tcPr>
            <w:tcW w:w="454" w:type="pct"/>
            <w:tcBorders>
              <w:top w:val="single" w:sz="4" w:space="0" w:color="C0C0C0"/>
              <w:left w:val="single" w:sz="4" w:space="0" w:color="C0C0C0"/>
              <w:bottom w:val="single" w:sz="4" w:space="0" w:color="C0C0C0"/>
              <w:right w:val="single" w:sz="4" w:space="0" w:color="C0C0C0"/>
            </w:tcBorders>
            <w:shd w:val="clear" w:color="000000" w:fill="F3E884"/>
            <w:noWrap/>
            <w:vAlign w:val="bottom"/>
          </w:tcPr>
          <w:p w14:paraId="497AC1C2"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25.30%</w:t>
            </w:r>
          </w:p>
        </w:tc>
        <w:tc>
          <w:tcPr>
            <w:tcW w:w="454" w:type="pct"/>
            <w:tcBorders>
              <w:top w:val="single" w:sz="4" w:space="0" w:color="C0C0C0"/>
              <w:left w:val="single" w:sz="4" w:space="0" w:color="C0C0C0"/>
              <w:bottom w:val="single" w:sz="4" w:space="0" w:color="C0C0C0"/>
              <w:right w:val="single" w:sz="4" w:space="0" w:color="C0C0C0"/>
            </w:tcBorders>
            <w:shd w:val="clear" w:color="000000" w:fill="FED980"/>
            <w:noWrap/>
            <w:vAlign w:val="bottom"/>
          </w:tcPr>
          <w:p w14:paraId="05680A5E"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11.45%</w:t>
            </w:r>
          </w:p>
        </w:tc>
        <w:tc>
          <w:tcPr>
            <w:tcW w:w="455" w:type="pct"/>
            <w:tcBorders>
              <w:top w:val="single" w:sz="4" w:space="0" w:color="C0C0C0"/>
              <w:left w:val="single" w:sz="4" w:space="0" w:color="C0C0C0"/>
              <w:bottom w:val="single" w:sz="4" w:space="0" w:color="C0C0C0"/>
              <w:right w:val="single" w:sz="4" w:space="0" w:color="C0C0C0"/>
            </w:tcBorders>
            <w:shd w:val="clear" w:color="000000" w:fill="E1E383"/>
            <w:noWrap/>
            <w:vAlign w:val="bottom"/>
          </w:tcPr>
          <w:p w14:paraId="0362784B"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38.02%</w:t>
            </w:r>
          </w:p>
        </w:tc>
        <w:tc>
          <w:tcPr>
            <w:tcW w:w="454" w:type="pct"/>
            <w:tcBorders>
              <w:top w:val="single" w:sz="4" w:space="0" w:color="C0C0C0"/>
              <w:left w:val="single" w:sz="4" w:space="0" w:color="C0C0C0"/>
              <w:bottom w:val="single" w:sz="4" w:space="0" w:color="C0C0C0"/>
              <w:right w:val="single" w:sz="4" w:space="0" w:color="C0C0C0"/>
            </w:tcBorders>
            <w:shd w:val="clear" w:color="000000" w:fill="FBA977"/>
            <w:noWrap/>
            <w:vAlign w:val="bottom"/>
          </w:tcPr>
          <w:p w14:paraId="73AD74F0"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-2.21%</w:t>
            </w:r>
          </w:p>
        </w:tc>
        <w:tc>
          <w:tcPr>
            <w:tcW w:w="454" w:type="pct"/>
            <w:tcBorders>
              <w:top w:val="single" w:sz="4" w:space="0" w:color="C0C0C0"/>
              <w:left w:val="single" w:sz="4" w:space="0" w:color="C0C0C0"/>
              <w:bottom w:val="single" w:sz="4" w:space="0" w:color="C0C0C0"/>
              <w:right w:val="single" w:sz="4" w:space="0" w:color="C0C0C0"/>
            </w:tcBorders>
            <w:shd w:val="clear" w:color="000000" w:fill="F6E984"/>
            <w:noWrap/>
            <w:vAlign w:val="bottom"/>
          </w:tcPr>
          <w:p w14:paraId="606C1505"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23.15%</w:t>
            </w:r>
          </w:p>
        </w:tc>
        <w:tc>
          <w:tcPr>
            <w:tcW w:w="455" w:type="pct"/>
            <w:tcBorders>
              <w:top w:val="single" w:sz="4" w:space="0" w:color="C0C0C0"/>
              <w:left w:val="single" w:sz="4" w:space="0" w:color="C0C0C0"/>
              <w:bottom w:val="single" w:sz="4" w:space="0" w:color="C0C0C0"/>
              <w:right w:val="single" w:sz="4" w:space="0" w:color="C0C0C0"/>
            </w:tcBorders>
            <w:shd w:val="clear" w:color="000000" w:fill="FDCC7E"/>
            <w:noWrap/>
            <w:vAlign w:val="bottom"/>
          </w:tcPr>
          <w:p w14:paraId="2D6F4825"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7.62%</w:t>
            </w:r>
          </w:p>
        </w:tc>
        <w:tc>
          <w:tcPr>
            <w:tcW w:w="454" w:type="pct"/>
            <w:tcBorders>
              <w:top w:val="single" w:sz="4" w:space="0" w:color="C0C0C0"/>
              <w:left w:val="single" w:sz="4" w:space="0" w:color="C0C0C0"/>
              <w:bottom w:val="single" w:sz="4" w:space="0" w:color="C0C0C0"/>
              <w:right w:val="single" w:sz="4" w:space="0" w:color="C0C0C0"/>
            </w:tcBorders>
            <w:shd w:val="clear" w:color="000000" w:fill="FCBF7B"/>
            <w:noWrap/>
            <w:vAlign w:val="bottom"/>
          </w:tcPr>
          <w:p w14:paraId="212F796D"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3.89%</w:t>
            </w:r>
          </w:p>
        </w:tc>
        <w:tc>
          <w:tcPr>
            <w:tcW w:w="457" w:type="pct"/>
            <w:tcBorders>
              <w:top w:val="single" w:sz="4" w:space="0" w:color="C0C0C0"/>
              <w:left w:val="single" w:sz="4" w:space="0" w:color="C0C0C0"/>
              <w:bottom w:val="single" w:sz="4" w:space="0" w:color="C0C0C0"/>
              <w:right w:val="single" w:sz="4" w:space="0" w:color="C0C0C0"/>
            </w:tcBorders>
            <w:shd w:val="clear" w:color="000000" w:fill="FA9874"/>
            <w:noWrap/>
            <w:vAlign w:val="bottom"/>
          </w:tcPr>
          <w:p w14:paraId="3552171A"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-7.21%</w:t>
            </w:r>
          </w:p>
        </w:tc>
      </w:tr>
      <w:tr w:rsidR="00293360" w:rsidRPr="00B90332" w14:paraId="0B226003" w14:textId="77777777" w:rsidTr="00293360">
        <w:trPr>
          <w:trHeight w:val="400"/>
        </w:trPr>
        <w:tc>
          <w:tcPr>
            <w:tcW w:w="454" w:type="pct"/>
            <w:tcBorders>
              <w:top w:val="nil"/>
              <w:left w:val="nil"/>
              <w:bottom w:val="single" w:sz="4" w:space="0" w:color="C0C0C0"/>
              <w:right w:val="single" w:sz="4" w:space="0" w:color="C0C0C0"/>
            </w:tcBorders>
            <w:shd w:val="clear" w:color="000000" w:fill="D7F7F6"/>
            <w:hideMark/>
          </w:tcPr>
          <w:p w14:paraId="0AD43847" w14:textId="77777777" w:rsidR="00293360" w:rsidRPr="00F63900" w:rsidRDefault="00293360" w:rsidP="008F03DF">
            <w:pPr>
              <w:spacing w:before="120" w:after="120" w:line="240" w:lineRule="atLeast"/>
              <w:rPr>
                <w:rFonts w:ascii="Arial" w:eastAsia="Times New Roman" w:hAnsi="Arial" w:cs="Arial"/>
                <w:sz w:val="21"/>
                <w:szCs w:val="21"/>
                <w:lang w:eastAsia="en-NZ"/>
              </w:rPr>
            </w:pPr>
            <w:r w:rsidRPr="00F63900">
              <w:rPr>
                <w:rFonts w:ascii="Arial" w:eastAsia="Times New Roman" w:hAnsi="Arial" w:cs="Arial"/>
                <w:sz w:val="21"/>
                <w:szCs w:val="21"/>
                <w:lang w:eastAsia="en-NZ"/>
              </w:rPr>
              <w:t>Tasman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CB579"/>
            <w:noWrap/>
            <w:vAlign w:val="bottom"/>
          </w:tcPr>
          <w:p w14:paraId="0A7FADB3"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1.06%</w:t>
            </w:r>
          </w:p>
        </w:tc>
        <w:tc>
          <w:tcPr>
            <w:tcW w:w="455" w:type="pct"/>
            <w:tcBorders>
              <w:top w:val="single" w:sz="4" w:space="0" w:color="C0C0C0"/>
              <w:left w:val="single" w:sz="4" w:space="0" w:color="C0C0C0"/>
              <w:bottom w:val="single" w:sz="4" w:space="0" w:color="C0C0C0"/>
              <w:right w:val="single" w:sz="4" w:space="0" w:color="C0C0C0"/>
            </w:tcBorders>
            <w:shd w:val="clear" w:color="000000" w:fill="FCB379"/>
            <w:noWrap/>
            <w:vAlign w:val="bottom"/>
          </w:tcPr>
          <w:p w14:paraId="5F375E74"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0.49%</w:t>
            </w:r>
          </w:p>
        </w:tc>
        <w:tc>
          <w:tcPr>
            <w:tcW w:w="454" w:type="pct"/>
            <w:tcBorders>
              <w:top w:val="single" w:sz="4" w:space="0" w:color="C0C0C0"/>
              <w:left w:val="single" w:sz="4" w:space="0" w:color="C0C0C0"/>
              <w:bottom w:val="single" w:sz="4" w:space="0" w:color="C0C0C0"/>
              <w:right w:val="single" w:sz="4" w:space="0" w:color="C0C0C0"/>
            </w:tcBorders>
            <w:shd w:val="clear" w:color="000000" w:fill="FBB178"/>
            <w:noWrap/>
            <w:vAlign w:val="bottom"/>
          </w:tcPr>
          <w:p w14:paraId="6A2F6B58"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0.00%</w:t>
            </w:r>
          </w:p>
        </w:tc>
        <w:tc>
          <w:tcPr>
            <w:tcW w:w="454" w:type="pct"/>
            <w:tcBorders>
              <w:top w:val="single" w:sz="4" w:space="0" w:color="C0C0C0"/>
              <w:left w:val="single" w:sz="4" w:space="0" w:color="C0C0C0"/>
              <w:bottom w:val="single" w:sz="4" w:space="0" w:color="C0C0C0"/>
              <w:right w:val="single" w:sz="4" w:space="0" w:color="C0C0C0"/>
            </w:tcBorders>
            <w:shd w:val="clear" w:color="000000" w:fill="FCEB84"/>
            <w:noWrap/>
            <w:vAlign w:val="bottom"/>
          </w:tcPr>
          <w:p w14:paraId="3835FBB1"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18.92%</w:t>
            </w:r>
          </w:p>
        </w:tc>
        <w:tc>
          <w:tcPr>
            <w:tcW w:w="455" w:type="pct"/>
            <w:tcBorders>
              <w:top w:val="single" w:sz="4" w:space="0" w:color="C0C0C0"/>
              <w:left w:val="single" w:sz="4" w:space="0" w:color="C0C0C0"/>
              <w:bottom w:val="single" w:sz="4" w:space="0" w:color="C0C0C0"/>
              <w:right w:val="single" w:sz="4" w:space="0" w:color="C0C0C0"/>
            </w:tcBorders>
            <w:shd w:val="clear" w:color="000000" w:fill="C1D981"/>
            <w:noWrap/>
            <w:vAlign w:val="bottom"/>
          </w:tcPr>
          <w:p w14:paraId="0A057E49"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60.00%</w:t>
            </w:r>
          </w:p>
        </w:tc>
        <w:tc>
          <w:tcPr>
            <w:tcW w:w="454" w:type="pct"/>
            <w:tcBorders>
              <w:top w:val="single" w:sz="4" w:space="0" w:color="C0C0C0"/>
              <w:left w:val="single" w:sz="4" w:space="0" w:color="C0C0C0"/>
              <w:bottom w:val="single" w:sz="4" w:space="0" w:color="C0C0C0"/>
              <w:right w:val="single" w:sz="4" w:space="0" w:color="C0C0C0"/>
            </w:tcBorders>
            <w:shd w:val="clear" w:color="000000" w:fill="CBDC81"/>
            <w:noWrap/>
            <w:vAlign w:val="bottom"/>
          </w:tcPr>
          <w:p w14:paraId="0FCA66DA"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52.94%</w:t>
            </w:r>
          </w:p>
        </w:tc>
        <w:tc>
          <w:tcPr>
            <w:tcW w:w="454" w:type="pct"/>
            <w:tcBorders>
              <w:top w:val="single" w:sz="4" w:space="0" w:color="C0C0C0"/>
              <w:left w:val="single" w:sz="4" w:space="0" w:color="C0C0C0"/>
              <w:bottom w:val="single" w:sz="4" w:space="0" w:color="C0C0C0"/>
              <w:right w:val="single" w:sz="4" w:space="0" w:color="C0C0C0"/>
            </w:tcBorders>
            <w:shd w:val="clear" w:color="000000" w:fill="CFDE82"/>
            <w:noWrap/>
            <w:vAlign w:val="bottom"/>
          </w:tcPr>
          <w:p w14:paraId="62D872BD"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50.00%</w:t>
            </w:r>
          </w:p>
        </w:tc>
        <w:tc>
          <w:tcPr>
            <w:tcW w:w="455" w:type="pct"/>
            <w:tcBorders>
              <w:top w:val="single" w:sz="4" w:space="0" w:color="C0C0C0"/>
              <w:left w:val="single" w:sz="4" w:space="0" w:color="C0C0C0"/>
              <w:bottom w:val="single" w:sz="4" w:space="0" w:color="C0C0C0"/>
              <w:right w:val="single" w:sz="4" w:space="0" w:color="C0C0C0"/>
            </w:tcBorders>
            <w:shd w:val="clear" w:color="000000" w:fill="BCD881"/>
            <w:noWrap/>
            <w:vAlign w:val="bottom"/>
          </w:tcPr>
          <w:p w14:paraId="24B6A9AF"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63.64%</w:t>
            </w:r>
          </w:p>
        </w:tc>
        <w:tc>
          <w:tcPr>
            <w:tcW w:w="454" w:type="pct"/>
            <w:tcBorders>
              <w:top w:val="single" w:sz="4" w:space="0" w:color="C0C0C0"/>
              <w:left w:val="single" w:sz="4" w:space="0" w:color="C0C0C0"/>
              <w:bottom w:val="single" w:sz="4" w:space="0" w:color="C0C0C0"/>
              <w:right w:val="single" w:sz="4" w:space="0" w:color="C0C0C0"/>
            </w:tcBorders>
            <w:shd w:val="clear" w:color="000000" w:fill="FBB078"/>
            <w:noWrap/>
            <w:vAlign w:val="bottom"/>
          </w:tcPr>
          <w:p w14:paraId="0E985D11"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-0.33%</w:t>
            </w:r>
          </w:p>
        </w:tc>
        <w:tc>
          <w:tcPr>
            <w:tcW w:w="457" w:type="pct"/>
            <w:tcBorders>
              <w:top w:val="single" w:sz="4" w:space="0" w:color="C0C0C0"/>
              <w:left w:val="single" w:sz="4" w:space="0" w:color="C0C0C0"/>
              <w:bottom w:val="single" w:sz="4" w:space="0" w:color="C0C0C0"/>
              <w:right w:val="single" w:sz="4" w:space="0" w:color="C0C0C0"/>
            </w:tcBorders>
            <w:shd w:val="clear" w:color="000000" w:fill="FCB77A"/>
            <w:noWrap/>
            <w:vAlign w:val="bottom"/>
          </w:tcPr>
          <w:p w14:paraId="06371B63"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1.83%</w:t>
            </w:r>
          </w:p>
        </w:tc>
      </w:tr>
      <w:tr w:rsidR="00293360" w:rsidRPr="00B90332" w14:paraId="2AB75CA5" w14:textId="77777777" w:rsidTr="00293360">
        <w:trPr>
          <w:trHeight w:val="400"/>
        </w:trPr>
        <w:tc>
          <w:tcPr>
            <w:tcW w:w="454" w:type="pct"/>
            <w:tcBorders>
              <w:top w:val="nil"/>
              <w:left w:val="nil"/>
              <w:bottom w:val="single" w:sz="4" w:space="0" w:color="C0C0C0"/>
              <w:right w:val="single" w:sz="4" w:space="0" w:color="C0C0C0"/>
            </w:tcBorders>
            <w:shd w:val="clear" w:color="000000" w:fill="D7F7F6"/>
            <w:hideMark/>
          </w:tcPr>
          <w:p w14:paraId="40CA0BA9" w14:textId="77777777" w:rsidR="00293360" w:rsidRPr="00F63900" w:rsidRDefault="00293360" w:rsidP="008F03DF">
            <w:pPr>
              <w:spacing w:before="120" w:after="120" w:line="240" w:lineRule="atLeast"/>
              <w:rPr>
                <w:rFonts w:ascii="Arial" w:eastAsia="Times New Roman" w:hAnsi="Arial" w:cs="Arial"/>
                <w:sz w:val="21"/>
                <w:szCs w:val="21"/>
                <w:lang w:eastAsia="en-NZ"/>
              </w:rPr>
            </w:pPr>
            <w:r w:rsidRPr="00F63900">
              <w:rPr>
                <w:rFonts w:ascii="Arial" w:eastAsia="Times New Roman" w:hAnsi="Arial" w:cs="Arial"/>
                <w:sz w:val="21"/>
                <w:szCs w:val="21"/>
                <w:lang w:eastAsia="en-NZ"/>
              </w:rPr>
              <w:t>Nelson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EDA80"/>
            <w:noWrap/>
            <w:vAlign w:val="bottom"/>
          </w:tcPr>
          <w:p w14:paraId="222E318E"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11.70%</w:t>
            </w:r>
          </w:p>
        </w:tc>
        <w:tc>
          <w:tcPr>
            <w:tcW w:w="455" w:type="pct"/>
            <w:tcBorders>
              <w:top w:val="single" w:sz="4" w:space="0" w:color="C0C0C0"/>
              <w:left w:val="single" w:sz="4" w:space="0" w:color="C0C0C0"/>
              <w:bottom w:val="single" w:sz="4" w:space="0" w:color="C0C0C0"/>
              <w:right w:val="single" w:sz="4" w:space="0" w:color="C0C0C0"/>
            </w:tcBorders>
            <w:shd w:val="clear" w:color="000000" w:fill="FDC67C"/>
            <w:noWrap/>
            <w:vAlign w:val="bottom"/>
          </w:tcPr>
          <w:p w14:paraId="612FE249"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6.02%</w:t>
            </w:r>
          </w:p>
        </w:tc>
        <w:tc>
          <w:tcPr>
            <w:tcW w:w="454" w:type="pct"/>
            <w:tcBorders>
              <w:top w:val="single" w:sz="4" w:space="0" w:color="C0C0C0"/>
              <w:left w:val="single" w:sz="4" w:space="0" w:color="C0C0C0"/>
              <w:bottom w:val="single" w:sz="4" w:space="0" w:color="C0C0C0"/>
              <w:right w:val="single" w:sz="4" w:space="0" w:color="C0C0C0"/>
            </w:tcBorders>
            <w:shd w:val="clear" w:color="000000" w:fill="F7E984"/>
            <w:noWrap/>
            <w:vAlign w:val="bottom"/>
          </w:tcPr>
          <w:p w14:paraId="0508F239"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22.22%</w:t>
            </w:r>
          </w:p>
        </w:tc>
        <w:tc>
          <w:tcPr>
            <w:tcW w:w="454" w:type="pct"/>
            <w:tcBorders>
              <w:top w:val="single" w:sz="4" w:space="0" w:color="C0C0C0"/>
              <w:left w:val="single" w:sz="4" w:space="0" w:color="C0C0C0"/>
              <w:bottom w:val="single" w:sz="4" w:space="0" w:color="C0C0C0"/>
              <w:right w:val="single" w:sz="4" w:space="0" w:color="C0C0C0"/>
            </w:tcBorders>
            <w:shd w:val="clear" w:color="000000" w:fill="F5E884"/>
            <w:noWrap/>
            <w:vAlign w:val="bottom"/>
          </w:tcPr>
          <w:p w14:paraId="4341372B"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24.00%</w:t>
            </w:r>
          </w:p>
        </w:tc>
        <w:tc>
          <w:tcPr>
            <w:tcW w:w="455" w:type="pct"/>
            <w:tcBorders>
              <w:top w:val="single" w:sz="4" w:space="0" w:color="C0C0C0"/>
              <w:left w:val="single" w:sz="4" w:space="0" w:color="C0C0C0"/>
              <w:bottom w:val="single" w:sz="4" w:space="0" w:color="C0C0C0"/>
              <w:right w:val="single" w:sz="4" w:space="0" w:color="C0C0C0"/>
            </w:tcBorders>
            <w:shd w:val="clear" w:color="000000" w:fill="D7E082"/>
            <w:noWrap/>
            <w:vAlign w:val="bottom"/>
          </w:tcPr>
          <w:p w14:paraId="37EE4AE2"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44.44%</w:t>
            </w:r>
          </w:p>
        </w:tc>
        <w:tc>
          <w:tcPr>
            <w:tcW w:w="454" w:type="pct"/>
            <w:tcBorders>
              <w:top w:val="single" w:sz="4" w:space="0" w:color="C0C0C0"/>
              <w:left w:val="single" w:sz="4" w:space="0" w:color="C0C0C0"/>
              <w:bottom w:val="single" w:sz="4" w:space="0" w:color="C0C0C0"/>
              <w:right w:val="single" w:sz="4" w:space="0" w:color="C0C0C0"/>
            </w:tcBorders>
            <w:shd w:val="clear" w:color="000000" w:fill="E3E383"/>
            <w:noWrap/>
            <w:vAlign w:val="bottom"/>
          </w:tcPr>
          <w:p w14:paraId="4BBB86E9"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36.00%</w:t>
            </w:r>
          </w:p>
        </w:tc>
        <w:tc>
          <w:tcPr>
            <w:tcW w:w="454" w:type="pct"/>
            <w:tcBorders>
              <w:top w:val="single" w:sz="4" w:space="0" w:color="C0C0C0"/>
              <w:left w:val="single" w:sz="4" w:space="0" w:color="C0C0C0"/>
              <w:bottom w:val="single" w:sz="4" w:space="0" w:color="C0C0C0"/>
              <w:right w:val="single" w:sz="4" w:space="0" w:color="C0C0C0"/>
            </w:tcBorders>
            <w:shd w:val="clear" w:color="000000" w:fill="DFE283"/>
            <w:noWrap/>
            <w:vAlign w:val="bottom"/>
          </w:tcPr>
          <w:p w14:paraId="74336512"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39.13%</w:t>
            </w:r>
          </w:p>
        </w:tc>
        <w:tc>
          <w:tcPr>
            <w:tcW w:w="455" w:type="pct"/>
            <w:tcBorders>
              <w:top w:val="single" w:sz="4" w:space="0" w:color="C0C0C0"/>
              <w:left w:val="single" w:sz="4" w:space="0" w:color="C0C0C0"/>
              <w:bottom w:val="single" w:sz="4" w:space="0" w:color="C0C0C0"/>
              <w:right w:val="single" w:sz="4" w:space="0" w:color="C0C0C0"/>
            </w:tcBorders>
            <w:shd w:val="clear" w:color="000000" w:fill="EEE784"/>
            <w:noWrap/>
            <w:vAlign w:val="bottom"/>
          </w:tcPr>
          <w:p w14:paraId="72B947DE"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28.57%</w:t>
            </w:r>
          </w:p>
        </w:tc>
        <w:tc>
          <w:tcPr>
            <w:tcW w:w="454" w:type="pct"/>
            <w:tcBorders>
              <w:top w:val="single" w:sz="4" w:space="0" w:color="C0C0C0"/>
              <w:left w:val="single" w:sz="4" w:space="0" w:color="C0C0C0"/>
              <w:bottom w:val="single" w:sz="4" w:space="0" w:color="C0C0C0"/>
              <w:right w:val="single" w:sz="4" w:space="0" w:color="C0C0C0"/>
            </w:tcBorders>
            <w:shd w:val="clear" w:color="000000" w:fill="FDD780"/>
            <w:noWrap/>
            <w:vAlign w:val="bottom"/>
          </w:tcPr>
          <w:p w14:paraId="4906F1E1"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10.79%</w:t>
            </w:r>
          </w:p>
        </w:tc>
        <w:tc>
          <w:tcPr>
            <w:tcW w:w="457" w:type="pct"/>
            <w:tcBorders>
              <w:top w:val="single" w:sz="4" w:space="0" w:color="C0C0C0"/>
              <w:left w:val="single" w:sz="4" w:space="0" w:color="C0C0C0"/>
              <w:bottom w:val="single" w:sz="4" w:space="0" w:color="C0C0C0"/>
              <w:right w:val="single" w:sz="4" w:space="0" w:color="C0C0C0"/>
            </w:tcBorders>
            <w:shd w:val="clear" w:color="000000" w:fill="FCC37C"/>
            <w:noWrap/>
            <w:vAlign w:val="bottom"/>
          </w:tcPr>
          <w:p w14:paraId="2A7A23AD"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5.10%</w:t>
            </w:r>
          </w:p>
        </w:tc>
      </w:tr>
      <w:tr w:rsidR="00293360" w:rsidRPr="00B90332" w14:paraId="1FBAEE04" w14:textId="77777777" w:rsidTr="00293360">
        <w:trPr>
          <w:trHeight w:val="400"/>
        </w:trPr>
        <w:tc>
          <w:tcPr>
            <w:tcW w:w="454" w:type="pct"/>
            <w:tcBorders>
              <w:top w:val="nil"/>
              <w:left w:val="nil"/>
              <w:bottom w:val="single" w:sz="4" w:space="0" w:color="C0C0C0"/>
              <w:right w:val="single" w:sz="4" w:space="0" w:color="C0C0C0"/>
            </w:tcBorders>
            <w:shd w:val="clear" w:color="000000" w:fill="D7F7F6"/>
            <w:hideMark/>
          </w:tcPr>
          <w:p w14:paraId="5769F3A4" w14:textId="77777777" w:rsidR="00293360" w:rsidRPr="00F63900" w:rsidRDefault="00293360" w:rsidP="008F03DF">
            <w:pPr>
              <w:spacing w:before="120" w:after="120" w:line="240" w:lineRule="atLeast"/>
              <w:rPr>
                <w:rFonts w:ascii="Arial" w:eastAsia="Times New Roman" w:hAnsi="Arial" w:cs="Arial"/>
                <w:sz w:val="21"/>
                <w:szCs w:val="21"/>
                <w:lang w:eastAsia="en-NZ"/>
              </w:rPr>
            </w:pPr>
            <w:r w:rsidRPr="00F63900">
              <w:rPr>
                <w:rFonts w:ascii="Arial" w:eastAsia="Times New Roman" w:hAnsi="Arial" w:cs="Arial"/>
                <w:sz w:val="21"/>
                <w:szCs w:val="21"/>
                <w:lang w:eastAsia="en-NZ"/>
              </w:rPr>
              <w:t>Marlborough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EEA83"/>
            <w:noWrap/>
            <w:vAlign w:val="bottom"/>
          </w:tcPr>
          <w:p w14:paraId="16B4C248"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16.42%</w:t>
            </w:r>
          </w:p>
        </w:tc>
        <w:tc>
          <w:tcPr>
            <w:tcW w:w="455" w:type="pct"/>
            <w:tcBorders>
              <w:top w:val="single" w:sz="4" w:space="0" w:color="C0C0C0"/>
              <w:left w:val="single" w:sz="4" w:space="0" w:color="C0C0C0"/>
              <w:bottom w:val="single" w:sz="4" w:space="0" w:color="C0C0C0"/>
              <w:right w:val="single" w:sz="4" w:space="0" w:color="C0C0C0"/>
            </w:tcBorders>
            <w:shd w:val="clear" w:color="000000" w:fill="F98570"/>
            <w:noWrap/>
            <w:vAlign w:val="bottom"/>
          </w:tcPr>
          <w:p w14:paraId="2F8E069E"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-12.72%</w:t>
            </w:r>
          </w:p>
        </w:tc>
        <w:tc>
          <w:tcPr>
            <w:tcW w:w="454" w:type="pct"/>
            <w:tcBorders>
              <w:top w:val="single" w:sz="4" w:space="0" w:color="C0C0C0"/>
              <w:left w:val="single" w:sz="4" w:space="0" w:color="C0C0C0"/>
              <w:bottom w:val="single" w:sz="4" w:space="0" w:color="C0C0C0"/>
              <w:right w:val="single" w:sz="4" w:space="0" w:color="C0C0C0"/>
            </w:tcBorders>
            <w:shd w:val="clear" w:color="000000" w:fill="CFDE82"/>
            <w:noWrap/>
            <w:vAlign w:val="bottom"/>
          </w:tcPr>
          <w:p w14:paraId="76A0B9A8"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50.00%</w:t>
            </w:r>
          </w:p>
        </w:tc>
        <w:tc>
          <w:tcPr>
            <w:tcW w:w="454" w:type="pct"/>
            <w:tcBorders>
              <w:top w:val="single" w:sz="4" w:space="0" w:color="C0C0C0"/>
              <w:left w:val="single" w:sz="4" w:space="0" w:color="C0C0C0"/>
              <w:bottom w:val="single" w:sz="4" w:space="0" w:color="C0C0C0"/>
              <w:right w:val="single" w:sz="4" w:space="0" w:color="C0C0C0"/>
            </w:tcBorders>
            <w:shd w:val="clear" w:color="000000" w:fill="FDCE7E"/>
            <w:noWrap/>
            <w:vAlign w:val="bottom"/>
          </w:tcPr>
          <w:p w14:paraId="0EFF4F35"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8.33%</w:t>
            </w:r>
          </w:p>
        </w:tc>
        <w:tc>
          <w:tcPr>
            <w:tcW w:w="455" w:type="pct"/>
            <w:tcBorders>
              <w:top w:val="single" w:sz="4" w:space="0" w:color="C0C0C0"/>
              <w:left w:val="single" w:sz="4" w:space="0" w:color="C0C0C0"/>
              <w:bottom w:val="single" w:sz="4" w:space="0" w:color="C0C0C0"/>
              <w:right w:val="single" w:sz="4" w:space="0" w:color="C0C0C0"/>
            </w:tcBorders>
            <w:shd w:val="clear" w:color="000000" w:fill="96CD7E"/>
            <w:noWrap/>
            <w:vAlign w:val="bottom"/>
          </w:tcPr>
          <w:p w14:paraId="738E4A64"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90.00%</w:t>
            </w:r>
          </w:p>
        </w:tc>
        <w:tc>
          <w:tcPr>
            <w:tcW w:w="454" w:type="pct"/>
            <w:tcBorders>
              <w:top w:val="single" w:sz="4" w:space="0" w:color="C0C0C0"/>
              <w:left w:val="single" w:sz="4" w:space="0" w:color="C0C0C0"/>
              <w:bottom w:val="single" w:sz="4" w:space="0" w:color="C0C0C0"/>
              <w:right w:val="single" w:sz="4" w:space="0" w:color="C0C0C0"/>
            </w:tcBorders>
            <w:shd w:val="clear" w:color="000000" w:fill="ABD380"/>
            <w:noWrap/>
            <w:vAlign w:val="bottom"/>
          </w:tcPr>
          <w:p w14:paraId="34C8C9A0"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75.00%</w:t>
            </w:r>
          </w:p>
        </w:tc>
        <w:tc>
          <w:tcPr>
            <w:tcW w:w="454" w:type="pct"/>
            <w:tcBorders>
              <w:top w:val="single" w:sz="4" w:space="0" w:color="C0C0C0"/>
              <w:left w:val="single" w:sz="4" w:space="0" w:color="C0C0C0"/>
              <w:bottom w:val="single" w:sz="4" w:space="0" w:color="C0C0C0"/>
              <w:right w:val="single" w:sz="4" w:space="0" w:color="C0C0C0"/>
            </w:tcBorders>
            <w:shd w:val="clear" w:color="000000" w:fill="B1D580"/>
            <w:noWrap/>
            <w:vAlign w:val="bottom"/>
          </w:tcPr>
          <w:p w14:paraId="15EBDD2A"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70.83%</w:t>
            </w:r>
          </w:p>
        </w:tc>
        <w:tc>
          <w:tcPr>
            <w:tcW w:w="455" w:type="pct"/>
            <w:tcBorders>
              <w:top w:val="single" w:sz="4" w:space="0" w:color="C0C0C0"/>
              <w:left w:val="single" w:sz="4" w:space="0" w:color="C0C0C0"/>
              <w:bottom w:val="single" w:sz="4" w:space="0" w:color="C0C0C0"/>
              <w:right w:val="single" w:sz="4" w:space="0" w:color="C0C0C0"/>
            </w:tcBorders>
            <w:shd w:val="clear" w:color="000000" w:fill="CCDD82"/>
            <w:noWrap/>
            <w:vAlign w:val="bottom"/>
          </w:tcPr>
          <w:p w14:paraId="1490462A"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52.63%</w:t>
            </w:r>
          </w:p>
        </w:tc>
        <w:tc>
          <w:tcPr>
            <w:tcW w:w="454" w:type="pct"/>
            <w:tcBorders>
              <w:top w:val="single" w:sz="4" w:space="0" w:color="C0C0C0"/>
              <w:left w:val="single" w:sz="4" w:space="0" w:color="C0C0C0"/>
              <w:bottom w:val="single" w:sz="4" w:space="0" w:color="C0C0C0"/>
              <w:right w:val="single" w:sz="4" w:space="0" w:color="C0C0C0"/>
            </w:tcBorders>
            <w:shd w:val="clear" w:color="000000" w:fill="FEEB84"/>
            <w:noWrap/>
            <w:vAlign w:val="bottom"/>
          </w:tcPr>
          <w:p w14:paraId="7DE06BAE"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17.26%</w:t>
            </w:r>
          </w:p>
        </w:tc>
        <w:tc>
          <w:tcPr>
            <w:tcW w:w="457" w:type="pct"/>
            <w:tcBorders>
              <w:top w:val="single" w:sz="4" w:space="0" w:color="C0C0C0"/>
              <w:left w:val="single" w:sz="4" w:space="0" w:color="C0C0C0"/>
              <w:bottom w:val="single" w:sz="4" w:space="0" w:color="C0C0C0"/>
              <w:right w:val="single" w:sz="4" w:space="0" w:color="C0C0C0"/>
            </w:tcBorders>
            <w:shd w:val="clear" w:color="000000" w:fill="FA9773"/>
            <w:noWrap/>
            <w:vAlign w:val="bottom"/>
          </w:tcPr>
          <w:p w14:paraId="258FFBC8"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-7.65%</w:t>
            </w:r>
          </w:p>
        </w:tc>
      </w:tr>
      <w:tr w:rsidR="00293360" w:rsidRPr="00B90332" w14:paraId="664EB3CE" w14:textId="77777777" w:rsidTr="00293360">
        <w:trPr>
          <w:trHeight w:val="600"/>
        </w:trPr>
        <w:tc>
          <w:tcPr>
            <w:tcW w:w="454" w:type="pct"/>
            <w:tcBorders>
              <w:top w:val="nil"/>
              <w:left w:val="nil"/>
              <w:bottom w:val="single" w:sz="4" w:space="0" w:color="C0C0C0"/>
              <w:right w:val="single" w:sz="4" w:space="0" w:color="C0C0C0"/>
            </w:tcBorders>
            <w:shd w:val="clear" w:color="000000" w:fill="D7F7F6"/>
            <w:hideMark/>
          </w:tcPr>
          <w:p w14:paraId="6149D86E" w14:textId="77777777" w:rsidR="00293360" w:rsidRPr="00F63900" w:rsidRDefault="00293360" w:rsidP="008F03DF">
            <w:pPr>
              <w:spacing w:before="120" w:after="120" w:line="240" w:lineRule="atLeast"/>
              <w:rPr>
                <w:rFonts w:ascii="Arial" w:eastAsia="Times New Roman" w:hAnsi="Arial" w:cs="Arial"/>
                <w:sz w:val="21"/>
                <w:szCs w:val="21"/>
                <w:lang w:eastAsia="en-NZ"/>
              </w:rPr>
            </w:pPr>
            <w:r w:rsidRPr="00F63900">
              <w:rPr>
                <w:rFonts w:ascii="Arial" w:eastAsia="Times New Roman" w:hAnsi="Arial" w:cs="Arial"/>
                <w:sz w:val="21"/>
                <w:szCs w:val="21"/>
                <w:lang w:eastAsia="en-NZ"/>
              </w:rPr>
              <w:t>West Coast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EEB84"/>
            <w:noWrap/>
            <w:vAlign w:val="bottom"/>
          </w:tcPr>
          <w:p w14:paraId="6900F104"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17.33%</w:t>
            </w:r>
          </w:p>
        </w:tc>
        <w:tc>
          <w:tcPr>
            <w:tcW w:w="455" w:type="pct"/>
            <w:tcBorders>
              <w:top w:val="single" w:sz="4" w:space="0" w:color="C0C0C0"/>
              <w:left w:val="single" w:sz="4" w:space="0" w:color="C0C0C0"/>
              <w:bottom w:val="single" w:sz="4" w:space="0" w:color="C0C0C0"/>
              <w:right w:val="single" w:sz="4" w:space="0" w:color="C0C0C0"/>
            </w:tcBorders>
            <w:shd w:val="clear" w:color="000000" w:fill="F8696B"/>
            <w:noWrap/>
            <w:vAlign w:val="bottom"/>
          </w:tcPr>
          <w:p w14:paraId="642B065C"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-20.92%</w:t>
            </w:r>
          </w:p>
        </w:tc>
        <w:tc>
          <w:tcPr>
            <w:tcW w:w="454" w:type="pct"/>
            <w:tcBorders>
              <w:top w:val="single" w:sz="4" w:space="0" w:color="C0C0C0"/>
              <w:left w:val="single" w:sz="4" w:space="0" w:color="C0C0C0"/>
              <w:bottom w:val="single" w:sz="4" w:space="0" w:color="C0C0C0"/>
              <w:right w:val="single" w:sz="4" w:space="0" w:color="C0C0C0"/>
            </w:tcBorders>
            <w:shd w:val="clear" w:color="000000" w:fill="FEE983"/>
            <w:noWrap/>
            <w:vAlign w:val="bottom"/>
          </w:tcPr>
          <w:p w14:paraId="619FE471"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16.22%</w:t>
            </w:r>
          </w:p>
        </w:tc>
        <w:tc>
          <w:tcPr>
            <w:tcW w:w="454" w:type="pct"/>
            <w:tcBorders>
              <w:top w:val="single" w:sz="4" w:space="0" w:color="C0C0C0"/>
              <w:left w:val="single" w:sz="4" w:space="0" w:color="C0C0C0"/>
              <w:bottom w:val="single" w:sz="4" w:space="0" w:color="C0C0C0"/>
              <w:right w:val="single" w:sz="4" w:space="0" w:color="C0C0C0"/>
            </w:tcBorders>
            <w:shd w:val="clear" w:color="000000" w:fill="FBB178"/>
            <w:noWrap/>
            <w:vAlign w:val="bottom"/>
          </w:tcPr>
          <w:p w14:paraId="4E0BA7E7"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0.00%</w:t>
            </w:r>
          </w:p>
        </w:tc>
        <w:tc>
          <w:tcPr>
            <w:tcW w:w="455" w:type="pct"/>
            <w:tcBorders>
              <w:top w:val="single" w:sz="4" w:space="0" w:color="C0C0C0"/>
              <w:left w:val="single" w:sz="4" w:space="0" w:color="C0C0C0"/>
              <w:bottom w:val="single" w:sz="4" w:space="0" w:color="C0C0C0"/>
              <w:right w:val="single" w:sz="4" w:space="0" w:color="C0C0C0"/>
            </w:tcBorders>
            <w:shd w:val="clear" w:color="000000" w:fill="C9DC81"/>
            <w:noWrap/>
            <w:vAlign w:val="bottom"/>
          </w:tcPr>
          <w:p w14:paraId="3035357E"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54.55%</w:t>
            </w:r>
          </w:p>
        </w:tc>
        <w:tc>
          <w:tcPr>
            <w:tcW w:w="454" w:type="pct"/>
            <w:tcBorders>
              <w:top w:val="single" w:sz="4" w:space="0" w:color="C0C0C0"/>
              <w:left w:val="single" w:sz="4" w:space="0" w:color="C0C0C0"/>
              <w:bottom w:val="single" w:sz="4" w:space="0" w:color="C0C0C0"/>
              <w:right w:val="single" w:sz="4" w:space="0" w:color="C0C0C0"/>
            </w:tcBorders>
            <w:shd w:val="clear" w:color="000000" w:fill="E3E383"/>
            <w:noWrap/>
            <w:vAlign w:val="bottom"/>
          </w:tcPr>
          <w:p w14:paraId="0451DDD2"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36.36%</w:t>
            </w:r>
          </w:p>
        </w:tc>
        <w:tc>
          <w:tcPr>
            <w:tcW w:w="454" w:type="pct"/>
            <w:tcBorders>
              <w:top w:val="single" w:sz="4" w:space="0" w:color="C0C0C0"/>
              <w:left w:val="single" w:sz="4" w:space="0" w:color="C0C0C0"/>
              <w:bottom w:val="single" w:sz="4" w:space="0" w:color="C0C0C0"/>
              <w:right w:val="single" w:sz="4" w:space="0" w:color="C0C0C0"/>
            </w:tcBorders>
            <w:shd w:val="clear" w:color="000000" w:fill="C7DB81"/>
            <w:noWrap/>
            <w:vAlign w:val="bottom"/>
          </w:tcPr>
          <w:p w14:paraId="53B779DC"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55.56%</w:t>
            </w:r>
          </w:p>
        </w:tc>
        <w:tc>
          <w:tcPr>
            <w:tcW w:w="455" w:type="pct"/>
            <w:tcBorders>
              <w:top w:val="single" w:sz="4" w:space="0" w:color="C0C0C0"/>
              <w:left w:val="single" w:sz="4" w:space="0" w:color="C0C0C0"/>
              <w:bottom w:val="single" w:sz="4" w:space="0" w:color="C0C0C0"/>
              <w:right w:val="single" w:sz="4" w:space="0" w:color="C0C0C0"/>
            </w:tcBorders>
            <w:shd w:val="clear" w:color="000000" w:fill="87C97E"/>
            <w:noWrap/>
            <w:vAlign w:val="bottom"/>
          </w:tcPr>
          <w:p w14:paraId="40CACC15"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100.00%</w:t>
            </w:r>
          </w:p>
        </w:tc>
        <w:tc>
          <w:tcPr>
            <w:tcW w:w="454" w:type="pct"/>
            <w:tcBorders>
              <w:top w:val="single" w:sz="4" w:space="0" w:color="C0C0C0"/>
              <w:left w:val="single" w:sz="4" w:space="0" w:color="C0C0C0"/>
              <w:bottom w:val="single" w:sz="4" w:space="0" w:color="C0C0C0"/>
              <w:right w:val="single" w:sz="4" w:space="0" w:color="C0C0C0"/>
            </w:tcBorders>
            <w:shd w:val="clear" w:color="000000" w:fill="FEDD81"/>
            <w:noWrap/>
            <w:vAlign w:val="bottom"/>
          </w:tcPr>
          <w:p w14:paraId="3F040F54"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12.65%</w:t>
            </w:r>
          </w:p>
        </w:tc>
        <w:tc>
          <w:tcPr>
            <w:tcW w:w="457" w:type="pct"/>
            <w:tcBorders>
              <w:top w:val="single" w:sz="4" w:space="0" w:color="C0C0C0"/>
              <w:left w:val="single" w:sz="4" w:space="0" w:color="C0C0C0"/>
              <w:bottom w:val="single" w:sz="4" w:space="0" w:color="C0C0C0"/>
              <w:right w:val="single" w:sz="4" w:space="0" w:color="C0C0C0"/>
            </w:tcBorders>
            <w:shd w:val="clear" w:color="000000" w:fill="FA8F72"/>
            <w:noWrap/>
            <w:vAlign w:val="bottom"/>
          </w:tcPr>
          <w:p w14:paraId="19CCF138"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-9.93%</w:t>
            </w:r>
          </w:p>
        </w:tc>
      </w:tr>
      <w:tr w:rsidR="00293360" w:rsidRPr="00B90332" w14:paraId="258CBE59" w14:textId="77777777" w:rsidTr="00293360">
        <w:trPr>
          <w:trHeight w:val="400"/>
        </w:trPr>
        <w:tc>
          <w:tcPr>
            <w:tcW w:w="454" w:type="pct"/>
            <w:tcBorders>
              <w:top w:val="nil"/>
              <w:left w:val="nil"/>
              <w:bottom w:val="single" w:sz="4" w:space="0" w:color="C0C0C0"/>
              <w:right w:val="single" w:sz="4" w:space="0" w:color="C0C0C0"/>
            </w:tcBorders>
            <w:shd w:val="clear" w:color="000000" w:fill="D7F7F6"/>
            <w:hideMark/>
          </w:tcPr>
          <w:p w14:paraId="7454C418" w14:textId="77777777" w:rsidR="00293360" w:rsidRPr="00F63900" w:rsidRDefault="00293360" w:rsidP="008F03DF">
            <w:pPr>
              <w:spacing w:before="120" w:after="120" w:line="240" w:lineRule="atLeast"/>
              <w:rPr>
                <w:rFonts w:ascii="Arial" w:eastAsia="Times New Roman" w:hAnsi="Arial" w:cs="Arial"/>
                <w:sz w:val="21"/>
                <w:szCs w:val="21"/>
                <w:lang w:eastAsia="en-NZ"/>
              </w:rPr>
            </w:pPr>
            <w:r w:rsidRPr="00F63900">
              <w:rPr>
                <w:rFonts w:ascii="Arial" w:eastAsia="Times New Roman" w:hAnsi="Arial" w:cs="Arial"/>
                <w:sz w:val="21"/>
                <w:szCs w:val="21"/>
                <w:lang w:eastAsia="en-NZ"/>
              </w:rPr>
              <w:t>Canterbury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DD47F"/>
            <w:noWrap/>
            <w:vAlign w:val="bottom"/>
          </w:tcPr>
          <w:p w14:paraId="72F3B9E3"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10.08%</w:t>
            </w:r>
          </w:p>
        </w:tc>
        <w:tc>
          <w:tcPr>
            <w:tcW w:w="455" w:type="pct"/>
            <w:tcBorders>
              <w:top w:val="single" w:sz="4" w:space="0" w:color="C0C0C0"/>
              <w:left w:val="single" w:sz="4" w:space="0" w:color="C0C0C0"/>
              <w:bottom w:val="single" w:sz="4" w:space="0" w:color="C0C0C0"/>
              <w:right w:val="single" w:sz="4" w:space="0" w:color="C0C0C0"/>
            </w:tcBorders>
            <w:shd w:val="clear" w:color="000000" w:fill="FBA676"/>
            <w:noWrap/>
            <w:vAlign w:val="bottom"/>
          </w:tcPr>
          <w:p w14:paraId="0B2F2C55"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-3.34%</w:t>
            </w:r>
          </w:p>
        </w:tc>
        <w:tc>
          <w:tcPr>
            <w:tcW w:w="454" w:type="pct"/>
            <w:tcBorders>
              <w:top w:val="single" w:sz="4" w:space="0" w:color="C0C0C0"/>
              <w:left w:val="single" w:sz="4" w:space="0" w:color="C0C0C0"/>
              <w:bottom w:val="single" w:sz="4" w:space="0" w:color="C0C0C0"/>
              <w:right w:val="single" w:sz="4" w:space="0" w:color="C0C0C0"/>
            </w:tcBorders>
            <w:shd w:val="clear" w:color="000000" w:fill="E4E483"/>
            <w:noWrap/>
            <w:vAlign w:val="bottom"/>
          </w:tcPr>
          <w:p w14:paraId="2BC47DE4"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35.65%</w:t>
            </w:r>
          </w:p>
        </w:tc>
        <w:tc>
          <w:tcPr>
            <w:tcW w:w="454" w:type="pct"/>
            <w:tcBorders>
              <w:top w:val="single" w:sz="4" w:space="0" w:color="C0C0C0"/>
              <w:left w:val="single" w:sz="4" w:space="0" w:color="C0C0C0"/>
              <w:bottom w:val="single" w:sz="4" w:space="0" w:color="C0C0C0"/>
              <w:right w:val="single" w:sz="4" w:space="0" w:color="C0C0C0"/>
            </w:tcBorders>
            <w:shd w:val="clear" w:color="000000" w:fill="F7E984"/>
            <w:noWrap/>
            <w:vAlign w:val="bottom"/>
          </w:tcPr>
          <w:p w14:paraId="2C1E5278"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22.24%</w:t>
            </w:r>
          </w:p>
        </w:tc>
        <w:tc>
          <w:tcPr>
            <w:tcW w:w="455" w:type="pct"/>
            <w:tcBorders>
              <w:top w:val="single" w:sz="4" w:space="0" w:color="C0C0C0"/>
              <w:left w:val="single" w:sz="4" w:space="0" w:color="C0C0C0"/>
              <w:bottom w:val="single" w:sz="4" w:space="0" w:color="C0C0C0"/>
              <w:right w:val="single" w:sz="4" w:space="0" w:color="C0C0C0"/>
            </w:tcBorders>
            <w:shd w:val="clear" w:color="000000" w:fill="DEE283"/>
            <w:noWrap/>
            <w:vAlign w:val="bottom"/>
          </w:tcPr>
          <w:p w14:paraId="224E99BE"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39.68%</w:t>
            </w:r>
          </w:p>
        </w:tc>
        <w:tc>
          <w:tcPr>
            <w:tcW w:w="454" w:type="pct"/>
            <w:tcBorders>
              <w:top w:val="single" w:sz="4" w:space="0" w:color="C0C0C0"/>
              <w:left w:val="single" w:sz="4" w:space="0" w:color="C0C0C0"/>
              <w:bottom w:val="single" w:sz="4" w:space="0" w:color="C0C0C0"/>
              <w:right w:val="single" w:sz="4" w:space="0" w:color="C0C0C0"/>
            </w:tcBorders>
            <w:shd w:val="clear" w:color="000000" w:fill="FAEA84"/>
            <w:noWrap/>
            <w:vAlign w:val="bottom"/>
          </w:tcPr>
          <w:p w14:paraId="3C6CC0D3"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20.52%</w:t>
            </w:r>
          </w:p>
        </w:tc>
        <w:tc>
          <w:tcPr>
            <w:tcW w:w="454" w:type="pct"/>
            <w:tcBorders>
              <w:top w:val="single" w:sz="4" w:space="0" w:color="C0C0C0"/>
              <w:left w:val="single" w:sz="4" w:space="0" w:color="C0C0C0"/>
              <w:bottom w:val="single" w:sz="4" w:space="0" w:color="C0C0C0"/>
              <w:right w:val="single" w:sz="4" w:space="0" w:color="C0C0C0"/>
            </w:tcBorders>
            <w:shd w:val="clear" w:color="000000" w:fill="D2DE82"/>
            <w:noWrap/>
            <w:vAlign w:val="bottom"/>
          </w:tcPr>
          <w:p w14:paraId="332E3E56"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48.43%</w:t>
            </w:r>
          </w:p>
        </w:tc>
        <w:tc>
          <w:tcPr>
            <w:tcW w:w="455" w:type="pct"/>
            <w:tcBorders>
              <w:top w:val="single" w:sz="4" w:space="0" w:color="C0C0C0"/>
              <w:left w:val="single" w:sz="4" w:space="0" w:color="C0C0C0"/>
              <w:bottom w:val="single" w:sz="4" w:space="0" w:color="C0C0C0"/>
              <w:right w:val="single" w:sz="4" w:space="0" w:color="C0C0C0"/>
            </w:tcBorders>
            <w:shd w:val="clear" w:color="000000" w:fill="F3E884"/>
            <w:noWrap/>
            <w:vAlign w:val="bottom"/>
          </w:tcPr>
          <w:p w14:paraId="101A415C"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25.16%</w:t>
            </w:r>
          </w:p>
        </w:tc>
        <w:tc>
          <w:tcPr>
            <w:tcW w:w="454" w:type="pct"/>
            <w:tcBorders>
              <w:top w:val="single" w:sz="4" w:space="0" w:color="C0C0C0"/>
              <w:left w:val="single" w:sz="4" w:space="0" w:color="C0C0C0"/>
              <w:bottom w:val="single" w:sz="4" w:space="0" w:color="C0C0C0"/>
              <w:right w:val="single" w:sz="4" w:space="0" w:color="C0C0C0"/>
            </w:tcBorders>
            <w:shd w:val="clear" w:color="000000" w:fill="FDD780"/>
            <w:noWrap/>
            <w:vAlign w:val="bottom"/>
          </w:tcPr>
          <w:p w14:paraId="5A4A3146"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10.86%</w:t>
            </w:r>
          </w:p>
        </w:tc>
        <w:tc>
          <w:tcPr>
            <w:tcW w:w="457" w:type="pct"/>
            <w:tcBorders>
              <w:top w:val="single" w:sz="4" w:space="0" w:color="C0C0C0"/>
              <w:left w:val="single" w:sz="4" w:space="0" w:color="C0C0C0"/>
              <w:bottom w:val="single" w:sz="4" w:space="0" w:color="C0C0C0"/>
              <w:right w:val="single" w:sz="4" w:space="0" w:color="C0C0C0"/>
            </w:tcBorders>
            <w:shd w:val="clear" w:color="000000" w:fill="FA9C74"/>
            <w:noWrap/>
            <w:vAlign w:val="bottom"/>
          </w:tcPr>
          <w:p w14:paraId="6B5135E0"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-6.06%</w:t>
            </w:r>
          </w:p>
        </w:tc>
      </w:tr>
      <w:tr w:rsidR="00293360" w:rsidRPr="00B90332" w14:paraId="6E99493D" w14:textId="77777777" w:rsidTr="00293360">
        <w:trPr>
          <w:trHeight w:val="400"/>
        </w:trPr>
        <w:tc>
          <w:tcPr>
            <w:tcW w:w="454" w:type="pct"/>
            <w:tcBorders>
              <w:top w:val="nil"/>
              <w:left w:val="nil"/>
              <w:bottom w:val="single" w:sz="4" w:space="0" w:color="C0C0C0"/>
              <w:right w:val="single" w:sz="4" w:space="0" w:color="C0C0C0"/>
            </w:tcBorders>
            <w:shd w:val="clear" w:color="000000" w:fill="D7F7F6"/>
            <w:hideMark/>
          </w:tcPr>
          <w:p w14:paraId="236F2C6F" w14:textId="77777777" w:rsidR="00293360" w:rsidRPr="00F63900" w:rsidRDefault="00293360" w:rsidP="008F03DF">
            <w:pPr>
              <w:spacing w:before="120" w:after="120" w:line="240" w:lineRule="atLeast"/>
              <w:rPr>
                <w:rFonts w:ascii="Arial" w:eastAsia="Times New Roman" w:hAnsi="Arial" w:cs="Arial"/>
                <w:sz w:val="21"/>
                <w:szCs w:val="21"/>
                <w:lang w:eastAsia="en-NZ"/>
              </w:rPr>
            </w:pPr>
            <w:r w:rsidRPr="00F63900">
              <w:rPr>
                <w:rFonts w:ascii="Arial" w:eastAsia="Times New Roman" w:hAnsi="Arial" w:cs="Arial"/>
                <w:sz w:val="21"/>
                <w:szCs w:val="21"/>
                <w:lang w:eastAsia="en-NZ"/>
              </w:rPr>
              <w:t>Otago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DC87D"/>
            <w:noWrap/>
            <w:vAlign w:val="bottom"/>
          </w:tcPr>
          <w:p w14:paraId="7B085877"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6.71%</w:t>
            </w:r>
          </w:p>
        </w:tc>
        <w:tc>
          <w:tcPr>
            <w:tcW w:w="455" w:type="pct"/>
            <w:tcBorders>
              <w:top w:val="single" w:sz="4" w:space="0" w:color="C0C0C0"/>
              <w:left w:val="single" w:sz="4" w:space="0" w:color="C0C0C0"/>
              <w:bottom w:val="single" w:sz="4" w:space="0" w:color="C0C0C0"/>
              <w:right w:val="single" w:sz="4" w:space="0" w:color="C0C0C0"/>
            </w:tcBorders>
            <w:shd w:val="clear" w:color="000000" w:fill="FAA075"/>
            <w:noWrap/>
            <w:vAlign w:val="bottom"/>
          </w:tcPr>
          <w:p w14:paraId="0A36CBA3"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-4.90%</w:t>
            </w:r>
          </w:p>
        </w:tc>
        <w:tc>
          <w:tcPr>
            <w:tcW w:w="454" w:type="pct"/>
            <w:tcBorders>
              <w:top w:val="single" w:sz="4" w:space="0" w:color="C0C0C0"/>
              <w:left w:val="single" w:sz="4" w:space="0" w:color="C0C0C0"/>
              <w:bottom w:val="single" w:sz="4" w:space="0" w:color="C0C0C0"/>
              <w:right w:val="single" w:sz="4" w:space="0" w:color="C0C0C0"/>
            </w:tcBorders>
            <w:shd w:val="clear" w:color="000000" w:fill="E9E583"/>
            <w:noWrap/>
            <w:vAlign w:val="bottom"/>
          </w:tcPr>
          <w:p w14:paraId="732EF02C"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31.84%</w:t>
            </w:r>
          </w:p>
        </w:tc>
        <w:tc>
          <w:tcPr>
            <w:tcW w:w="454" w:type="pct"/>
            <w:tcBorders>
              <w:top w:val="single" w:sz="4" w:space="0" w:color="C0C0C0"/>
              <w:left w:val="single" w:sz="4" w:space="0" w:color="C0C0C0"/>
              <w:bottom w:val="single" w:sz="4" w:space="0" w:color="C0C0C0"/>
              <w:right w:val="single" w:sz="4" w:space="0" w:color="C0C0C0"/>
            </w:tcBorders>
            <w:shd w:val="clear" w:color="000000" w:fill="FEE282"/>
            <w:noWrap/>
            <w:vAlign w:val="bottom"/>
          </w:tcPr>
          <w:p w14:paraId="6AC0BE85"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14.15%</w:t>
            </w:r>
          </w:p>
        </w:tc>
        <w:tc>
          <w:tcPr>
            <w:tcW w:w="455" w:type="pct"/>
            <w:tcBorders>
              <w:top w:val="single" w:sz="4" w:space="0" w:color="C0C0C0"/>
              <w:left w:val="single" w:sz="4" w:space="0" w:color="C0C0C0"/>
              <w:bottom w:val="single" w:sz="4" w:space="0" w:color="C0C0C0"/>
              <w:right w:val="single" w:sz="4" w:space="0" w:color="C0C0C0"/>
            </w:tcBorders>
            <w:shd w:val="clear" w:color="000000" w:fill="FCBF7B"/>
            <w:noWrap/>
            <w:vAlign w:val="bottom"/>
          </w:tcPr>
          <w:p w14:paraId="7F59DBF0"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4.10%</w:t>
            </w:r>
          </w:p>
        </w:tc>
        <w:tc>
          <w:tcPr>
            <w:tcW w:w="454" w:type="pct"/>
            <w:tcBorders>
              <w:top w:val="single" w:sz="4" w:space="0" w:color="C0C0C0"/>
              <w:left w:val="single" w:sz="4" w:space="0" w:color="C0C0C0"/>
              <w:bottom w:val="single" w:sz="4" w:space="0" w:color="C0C0C0"/>
              <w:right w:val="single" w:sz="4" w:space="0" w:color="C0C0C0"/>
            </w:tcBorders>
            <w:shd w:val="clear" w:color="000000" w:fill="F98971"/>
            <w:noWrap/>
            <w:vAlign w:val="bottom"/>
          </w:tcPr>
          <w:p w14:paraId="35578E68"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-11.69%</w:t>
            </w:r>
          </w:p>
        </w:tc>
        <w:tc>
          <w:tcPr>
            <w:tcW w:w="454" w:type="pct"/>
            <w:tcBorders>
              <w:top w:val="single" w:sz="4" w:space="0" w:color="C0C0C0"/>
              <w:left w:val="single" w:sz="4" w:space="0" w:color="C0C0C0"/>
              <w:bottom w:val="single" w:sz="4" w:space="0" w:color="C0C0C0"/>
              <w:right w:val="single" w:sz="4" w:space="0" w:color="C0C0C0"/>
            </w:tcBorders>
            <w:shd w:val="clear" w:color="000000" w:fill="D2DE82"/>
            <w:noWrap/>
            <w:vAlign w:val="bottom"/>
          </w:tcPr>
          <w:p w14:paraId="7AFF0E4F"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48.08%</w:t>
            </w:r>
          </w:p>
        </w:tc>
        <w:tc>
          <w:tcPr>
            <w:tcW w:w="455" w:type="pct"/>
            <w:tcBorders>
              <w:top w:val="single" w:sz="4" w:space="0" w:color="C0C0C0"/>
              <w:left w:val="single" w:sz="4" w:space="0" w:color="C0C0C0"/>
              <w:bottom w:val="single" w:sz="4" w:space="0" w:color="C0C0C0"/>
              <w:right w:val="single" w:sz="4" w:space="0" w:color="C0C0C0"/>
            </w:tcBorders>
            <w:shd w:val="clear" w:color="000000" w:fill="FDEB84"/>
            <w:noWrap/>
            <w:vAlign w:val="bottom"/>
          </w:tcPr>
          <w:p w14:paraId="25D4E76F"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18.33%</w:t>
            </w:r>
          </w:p>
        </w:tc>
        <w:tc>
          <w:tcPr>
            <w:tcW w:w="454" w:type="pct"/>
            <w:tcBorders>
              <w:top w:val="single" w:sz="4" w:space="0" w:color="C0C0C0"/>
              <w:left w:val="single" w:sz="4" w:space="0" w:color="C0C0C0"/>
              <w:bottom w:val="single" w:sz="4" w:space="0" w:color="C0C0C0"/>
              <w:right w:val="single" w:sz="4" w:space="0" w:color="C0C0C0"/>
            </w:tcBorders>
            <w:shd w:val="clear" w:color="000000" w:fill="FDC97D"/>
            <w:noWrap/>
            <w:vAlign w:val="bottom"/>
          </w:tcPr>
          <w:p w14:paraId="73BF552D"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6.98%</w:t>
            </w:r>
          </w:p>
        </w:tc>
        <w:tc>
          <w:tcPr>
            <w:tcW w:w="457" w:type="pct"/>
            <w:tcBorders>
              <w:top w:val="single" w:sz="4" w:space="0" w:color="C0C0C0"/>
              <w:left w:val="single" w:sz="4" w:space="0" w:color="C0C0C0"/>
              <w:bottom w:val="single" w:sz="4" w:space="0" w:color="C0C0C0"/>
              <w:right w:val="single" w:sz="4" w:space="0" w:color="C0C0C0"/>
            </w:tcBorders>
            <w:shd w:val="clear" w:color="000000" w:fill="FA9974"/>
            <w:noWrap/>
            <w:vAlign w:val="bottom"/>
          </w:tcPr>
          <w:p w14:paraId="0E33A6F9"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-7.08%</w:t>
            </w:r>
          </w:p>
        </w:tc>
      </w:tr>
      <w:tr w:rsidR="00293360" w:rsidRPr="00B90332" w14:paraId="03EE0AB6" w14:textId="77777777" w:rsidTr="00293360">
        <w:trPr>
          <w:trHeight w:val="400"/>
        </w:trPr>
        <w:tc>
          <w:tcPr>
            <w:tcW w:w="454" w:type="pct"/>
            <w:tcBorders>
              <w:top w:val="nil"/>
              <w:left w:val="nil"/>
              <w:bottom w:val="single" w:sz="4" w:space="0" w:color="C0C0C0"/>
              <w:right w:val="single" w:sz="4" w:space="0" w:color="C0C0C0"/>
            </w:tcBorders>
            <w:shd w:val="clear" w:color="000000" w:fill="D7F7F6"/>
            <w:hideMark/>
          </w:tcPr>
          <w:p w14:paraId="099B9E80" w14:textId="77777777" w:rsidR="00293360" w:rsidRPr="00F63900" w:rsidRDefault="00293360" w:rsidP="008F03DF">
            <w:pPr>
              <w:spacing w:before="120" w:after="120" w:line="240" w:lineRule="atLeast"/>
              <w:rPr>
                <w:rFonts w:ascii="Arial" w:eastAsia="Times New Roman" w:hAnsi="Arial" w:cs="Arial"/>
                <w:sz w:val="21"/>
                <w:szCs w:val="21"/>
                <w:lang w:eastAsia="en-NZ"/>
              </w:rPr>
            </w:pPr>
            <w:r w:rsidRPr="00F63900">
              <w:rPr>
                <w:rFonts w:ascii="Arial" w:eastAsia="Times New Roman" w:hAnsi="Arial" w:cs="Arial"/>
                <w:sz w:val="21"/>
                <w:szCs w:val="21"/>
                <w:lang w:eastAsia="en-NZ"/>
              </w:rPr>
              <w:t>Southland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DCA7D"/>
            <w:noWrap/>
            <w:vAlign w:val="bottom"/>
          </w:tcPr>
          <w:p w14:paraId="321C595C"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7.16%</w:t>
            </w:r>
          </w:p>
        </w:tc>
        <w:tc>
          <w:tcPr>
            <w:tcW w:w="455" w:type="pct"/>
            <w:tcBorders>
              <w:top w:val="single" w:sz="4" w:space="0" w:color="C0C0C0"/>
              <w:left w:val="single" w:sz="4" w:space="0" w:color="C0C0C0"/>
              <w:bottom w:val="single" w:sz="4" w:space="0" w:color="C0C0C0"/>
              <w:right w:val="single" w:sz="4" w:space="0" w:color="C0C0C0"/>
            </w:tcBorders>
            <w:shd w:val="clear" w:color="000000" w:fill="FA9373"/>
            <w:noWrap/>
            <w:vAlign w:val="bottom"/>
          </w:tcPr>
          <w:p w14:paraId="049CF57E"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-8.78%</w:t>
            </w:r>
          </w:p>
        </w:tc>
        <w:tc>
          <w:tcPr>
            <w:tcW w:w="454" w:type="pct"/>
            <w:tcBorders>
              <w:top w:val="single" w:sz="4" w:space="0" w:color="C0C0C0"/>
              <w:left w:val="single" w:sz="4" w:space="0" w:color="C0C0C0"/>
              <w:bottom w:val="single" w:sz="4" w:space="0" w:color="C0C0C0"/>
              <w:right w:val="single" w:sz="4" w:space="0" w:color="C0C0C0"/>
            </w:tcBorders>
            <w:shd w:val="clear" w:color="000000" w:fill="FBEA84"/>
            <w:noWrap/>
            <w:vAlign w:val="bottom"/>
          </w:tcPr>
          <w:p w14:paraId="148298CD"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19.72%</w:t>
            </w:r>
          </w:p>
        </w:tc>
        <w:tc>
          <w:tcPr>
            <w:tcW w:w="454" w:type="pct"/>
            <w:tcBorders>
              <w:top w:val="single" w:sz="4" w:space="0" w:color="C0C0C0"/>
              <w:left w:val="single" w:sz="4" w:space="0" w:color="C0C0C0"/>
              <w:bottom w:val="single" w:sz="4" w:space="0" w:color="C0C0C0"/>
              <w:right w:val="single" w:sz="4" w:space="0" w:color="C0C0C0"/>
            </w:tcBorders>
            <w:shd w:val="clear" w:color="000000" w:fill="F2E884"/>
            <w:noWrap/>
            <w:vAlign w:val="bottom"/>
          </w:tcPr>
          <w:p w14:paraId="712CA286"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25.86%</w:t>
            </w:r>
          </w:p>
        </w:tc>
        <w:tc>
          <w:tcPr>
            <w:tcW w:w="455" w:type="pct"/>
            <w:tcBorders>
              <w:top w:val="single" w:sz="4" w:space="0" w:color="C0C0C0"/>
              <w:left w:val="single" w:sz="4" w:space="0" w:color="C0C0C0"/>
              <w:bottom w:val="single" w:sz="4" w:space="0" w:color="C0C0C0"/>
              <w:right w:val="single" w:sz="4" w:space="0" w:color="C0C0C0"/>
            </w:tcBorders>
            <w:shd w:val="clear" w:color="000000" w:fill="BBD881"/>
            <w:noWrap/>
            <w:vAlign w:val="bottom"/>
          </w:tcPr>
          <w:p w14:paraId="5863D568"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64.29%</w:t>
            </w:r>
          </w:p>
        </w:tc>
        <w:tc>
          <w:tcPr>
            <w:tcW w:w="454" w:type="pct"/>
            <w:tcBorders>
              <w:top w:val="single" w:sz="4" w:space="0" w:color="C0C0C0"/>
              <w:left w:val="single" w:sz="4" w:space="0" w:color="C0C0C0"/>
              <w:bottom w:val="single" w:sz="4" w:space="0" w:color="C0C0C0"/>
              <w:right w:val="single" w:sz="4" w:space="0" w:color="C0C0C0"/>
            </w:tcBorders>
            <w:shd w:val="clear" w:color="000000" w:fill="FBEA84"/>
            <w:noWrap/>
            <w:vAlign w:val="bottom"/>
          </w:tcPr>
          <w:p w14:paraId="08FED1D3"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20.00%</w:t>
            </w:r>
          </w:p>
        </w:tc>
        <w:tc>
          <w:tcPr>
            <w:tcW w:w="454" w:type="pct"/>
            <w:tcBorders>
              <w:top w:val="single" w:sz="4" w:space="0" w:color="C0C0C0"/>
              <w:left w:val="single" w:sz="4" w:space="0" w:color="C0C0C0"/>
              <w:bottom w:val="single" w:sz="4" w:space="0" w:color="C0C0C0"/>
              <w:right w:val="single" w:sz="4" w:space="0" w:color="C0C0C0"/>
            </w:tcBorders>
            <w:shd w:val="clear" w:color="000000" w:fill="DFE283"/>
            <w:noWrap/>
            <w:vAlign w:val="bottom"/>
          </w:tcPr>
          <w:p w14:paraId="32C4335E"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39.29%</w:t>
            </w:r>
          </w:p>
        </w:tc>
        <w:tc>
          <w:tcPr>
            <w:tcW w:w="455" w:type="pct"/>
            <w:tcBorders>
              <w:top w:val="single" w:sz="4" w:space="0" w:color="C0C0C0"/>
              <w:left w:val="single" w:sz="4" w:space="0" w:color="C0C0C0"/>
              <w:bottom w:val="single" w:sz="4" w:space="0" w:color="C0C0C0"/>
              <w:right w:val="single" w:sz="4" w:space="0" w:color="C0C0C0"/>
            </w:tcBorders>
            <w:shd w:val="clear" w:color="000000" w:fill="BCD881"/>
            <w:noWrap/>
            <w:vAlign w:val="bottom"/>
          </w:tcPr>
          <w:p w14:paraId="2BF35AF7"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63.16%</w:t>
            </w:r>
          </w:p>
        </w:tc>
        <w:tc>
          <w:tcPr>
            <w:tcW w:w="454" w:type="pct"/>
            <w:tcBorders>
              <w:top w:val="single" w:sz="4" w:space="0" w:color="C0C0C0"/>
              <w:left w:val="single" w:sz="4" w:space="0" w:color="C0C0C0"/>
              <w:bottom w:val="single" w:sz="4" w:space="0" w:color="C0C0C0"/>
              <w:right w:val="single" w:sz="4" w:space="0" w:color="C0C0C0"/>
            </w:tcBorders>
            <w:shd w:val="clear" w:color="000000" w:fill="FDCF7E"/>
            <w:noWrap/>
            <w:vAlign w:val="bottom"/>
          </w:tcPr>
          <w:p w14:paraId="31F589F3"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8.57%</w:t>
            </w:r>
          </w:p>
        </w:tc>
        <w:tc>
          <w:tcPr>
            <w:tcW w:w="457" w:type="pct"/>
            <w:tcBorders>
              <w:top w:val="single" w:sz="4" w:space="0" w:color="C0C0C0"/>
              <w:left w:val="single" w:sz="4" w:space="0" w:color="C0C0C0"/>
              <w:bottom w:val="single" w:sz="4" w:space="0" w:color="C0C0C0"/>
              <w:right w:val="single" w:sz="4" w:space="0" w:color="C0C0C0"/>
            </w:tcBorders>
            <w:shd w:val="clear" w:color="000000" w:fill="FA9373"/>
            <w:noWrap/>
            <w:vAlign w:val="bottom"/>
          </w:tcPr>
          <w:p w14:paraId="33BA0F69"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-8.54%</w:t>
            </w:r>
          </w:p>
        </w:tc>
      </w:tr>
      <w:tr w:rsidR="00293360" w:rsidRPr="00B90332" w14:paraId="277D6D0E" w14:textId="77777777" w:rsidTr="00293360">
        <w:trPr>
          <w:trHeight w:val="600"/>
        </w:trPr>
        <w:tc>
          <w:tcPr>
            <w:tcW w:w="454" w:type="pct"/>
            <w:tcBorders>
              <w:top w:val="nil"/>
              <w:left w:val="nil"/>
              <w:bottom w:val="single" w:sz="4" w:space="0" w:color="C0C0C0"/>
              <w:right w:val="single" w:sz="4" w:space="0" w:color="C0C0C0"/>
            </w:tcBorders>
            <w:shd w:val="clear" w:color="000000" w:fill="D7F7F6"/>
            <w:hideMark/>
          </w:tcPr>
          <w:p w14:paraId="5E1D9A3E" w14:textId="77777777" w:rsidR="00293360" w:rsidRPr="00F63900" w:rsidRDefault="00293360" w:rsidP="008F03DF">
            <w:pPr>
              <w:spacing w:before="120" w:after="120" w:line="240" w:lineRule="atLeast"/>
              <w:rPr>
                <w:rFonts w:ascii="Arial" w:eastAsia="Times New Roman" w:hAnsi="Arial" w:cs="Arial"/>
                <w:sz w:val="21"/>
                <w:szCs w:val="21"/>
                <w:lang w:eastAsia="en-NZ"/>
              </w:rPr>
            </w:pPr>
            <w:r w:rsidRPr="00F63900">
              <w:rPr>
                <w:rFonts w:ascii="Arial" w:eastAsia="Times New Roman" w:hAnsi="Arial" w:cs="Arial"/>
                <w:sz w:val="21"/>
                <w:szCs w:val="21"/>
                <w:lang w:eastAsia="en-NZ"/>
              </w:rPr>
              <w:t>Area outside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3E884"/>
            <w:noWrap/>
            <w:vAlign w:val="bottom"/>
          </w:tcPr>
          <w:p w14:paraId="30B32A38"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25.00%</w:t>
            </w:r>
          </w:p>
        </w:tc>
        <w:tc>
          <w:tcPr>
            <w:tcW w:w="455" w:type="pct"/>
            <w:tcBorders>
              <w:top w:val="single" w:sz="4" w:space="0" w:color="C0C0C0"/>
              <w:left w:val="single" w:sz="4" w:space="0" w:color="C0C0C0"/>
              <w:bottom w:val="single" w:sz="4" w:space="0" w:color="C0C0C0"/>
              <w:right w:val="single" w:sz="4" w:space="0" w:color="C0C0C0"/>
            </w:tcBorders>
            <w:shd w:val="clear" w:color="000000" w:fill="63BE7B"/>
            <w:noWrap/>
            <w:vAlign w:val="bottom"/>
          </w:tcPr>
          <w:p w14:paraId="64677D2F"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125.00%</w:t>
            </w:r>
          </w:p>
        </w:tc>
        <w:tc>
          <w:tcPr>
            <w:tcW w:w="454" w:type="pct"/>
            <w:tcBorders>
              <w:top w:val="single" w:sz="4" w:space="0" w:color="C0C0C0"/>
              <w:left w:val="single" w:sz="4" w:space="0" w:color="C0C0C0"/>
              <w:bottom w:val="single" w:sz="4" w:space="0" w:color="C0C0C0"/>
              <w:right w:val="single" w:sz="4" w:space="0" w:color="C0C0C0"/>
            </w:tcBorders>
            <w:shd w:val="clear" w:color="000000" w:fill="CFDE82"/>
            <w:noWrap/>
            <w:vAlign w:val="bottom"/>
          </w:tcPr>
          <w:p w14:paraId="713A61EB"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50.00%</w:t>
            </w:r>
          </w:p>
        </w:tc>
        <w:tc>
          <w:tcPr>
            <w:tcW w:w="454" w:type="pct"/>
            <w:tcBorders>
              <w:top w:val="single" w:sz="4" w:space="0" w:color="C0C0C0"/>
              <w:left w:val="single" w:sz="4" w:space="0" w:color="C0C0C0"/>
              <w:bottom w:val="single" w:sz="4" w:space="0" w:color="C0C0C0"/>
              <w:right w:val="single" w:sz="4" w:space="0" w:color="C0C0C0"/>
            </w:tcBorders>
            <w:shd w:val="clear" w:color="000000" w:fill="87C97E"/>
            <w:noWrap/>
            <w:vAlign w:val="bottom"/>
          </w:tcPr>
          <w:p w14:paraId="67CB5926"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100.00%</w:t>
            </w:r>
          </w:p>
        </w:tc>
        <w:tc>
          <w:tcPr>
            <w:tcW w:w="455" w:type="pct"/>
            <w:tcBorders>
              <w:top w:val="nil"/>
              <w:left w:val="nil"/>
              <w:bottom w:val="single" w:sz="4" w:space="0" w:color="C0C0C0"/>
              <w:right w:val="single" w:sz="4" w:space="0" w:color="C0C0C0"/>
            </w:tcBorders>
            <w:shd w:val="clear" w:color="auto" w:fill="auto"/>
            <w:noWrap/>
            <w:vAlign w:val="bottom"/>
          </w:tcPr>
          <w:p w14:paraId="7F27EC7B"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w:t>
            </w:r>
          </w:p>
        </w:tc>
        <w:tc>
          <w:tcPr>
            <w:tcW w:w="454" w:type="pct"/>
            <w:tcBorders>
              <w:top w:val="nil"/>
              <w:left w:val="nil"/>
              <w:bottom w:val="single" w:sz="4" w:space="0" w:color="C0C0C0"/>
              <w:right w:val="single" w:sz="4" w:space="0" w:color="C0C0C0"/>
            </w:tcBorders>
            <w:shd w:val="clear" w:color="auto" w:fill="auto"/>
            <w:noWrap/>
            <w:vAlign w:val="bottom"/>
          </w:tcPr>
          <w:p w14:paraId="39A8172E"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w:t>
            </w:r>
          </w:p>
        </w:tc>
        <w:tc>
          <w:tcPr>
            <w:tcW w:w="454" w:type="pct"/>
            <w:tcBorders>
              <w:top w:val="nil"/>
              <w:left w:val="nil"/>
              <w:bottom w:val="single" w:sz="4" w:space="0" w:color="C0C0C0"/>
              <w:right w:val="single" w:sz="4" w:space="0" w:color="C0C0C0"/>
            </w:tcBorders>
            <w:shd w:val="clear" w:color="auto" w:fill="auto"/>
            <w:noWrap/>
            <w:vAlign w:val="bottom"/>
          </w:tcPr>
          <w:p w14:paraId="008E1A27"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w:t>
            </w:r>
          </w:p>
        </w:tc>
        <w:tc>
          <w:tcPr>
            <w:tcW w:w="455" w:type="pct"/>
            <w:tcBorders>
              <w:top w:val="nil"/>
              <w:left w:val="nil"/>
              <w:bottom w:val="single" w:sz="4" w:space="0" w:color="C0C0C0"/>
              <w:right w:val="single" w:sz="4" w:space="0" w:color="C0C0C0"/>
            </w:tcBorders>
            <w:shd w:val="clear" w:color="auto" w:fill="auto"/>
            <w:noWrap/>
            <w:vAlign w:val="bottom"/>
          </w:tcPr>
          <w:p w14:paraId="668E06DC"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w:t>
            </w:r>
          </w:p>
        </w:tc>
        <w:tc>
          <w:tcPr>
            <w:tcW w:w="454" w:type="pct"/>
            <w:tcBorders>
              <w:top w:val="single" w:sz="4" w:space="0" w:color="C0C0C0"/>
              <w:left w:val="single" w:sz="4" w:space="0" w:color="C0C0C0"/>
              <w:bottom w:val="single" w:sz="4" w:space="0" w:color="C0C0C0"/>
              <w:right w:val="single" w:sz="4" w:space="0" w:color="C0C0C0"/>
            </w:tcBorders>
            <w:shd w:val="clear" w:color="000000" w:fill="FBEA84"/>
            <w:noWrap/>
            <w:vAlign w:val="bottom"/>
          </w:tcPr>
          <w:p w14:paraId="71AA04B4"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20.00%</w:t>
            </w:r>
          </w:p>
        </w:tc>
        <w:tc>
          <w:tcPr>
            <w:tcW w:w="457" w:type="pct"/>
            <w:tcBorders>
              <w:top w:val="single" w:sz="4" w:space="0" w:color="C0C0C0"/>
              <w:left w:val="single" w:sz="4" w:space="0" w:color="C0C0C0"/>
              <w:bottom w:val="single" w:sz="4" w:space="0" w:color="C0C0C0"/>
              <w:right w:val="single" w:sz="4" w:space="0" w:color="C0C0C0"/>
            </w:tcBorders>
            <w:shd w:val="clear" w:color="000000" w:fill="B7D780"/>
            <w:noWrap/>
            <w:vAlign w:val="bottom"/>
          </w:tcPr>
          <w:p w14:paraId="22837071"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66.67%</w:t>
            </w:r>
          </w:p>
        </w:tc>
      </w:tr>
      <w:tr w:rsidR="00293360" w:rsidRPr="00B90332" w14:paraId="0F1C3843" w14:textId="77777777" w:rsidTr="00293360">
        <w:trPr>
          <w:trHeight w:val="800"/>
        </w:trPr>
        <w:tc>
          <w:tcPr>
            <w:tcW w:w="454" w:type="pct"/>
            <w:tcBorders>
              <w:top w:val="nil"/>
              <w:left w:val="nil"/>
              <w:bottom w:val="single" w:sz="4" w:space="0" w:color="C0C0C0"/>
              <w:right w:val="single" w:sz="4" w:space="0" w:color="C0C0C0"/>
            </w:tcBorders>
            <w:shd w:val="clear" w:color="000000" w:fill="D7F7F6"/>
            <w:hideMark/>
          </w:tcPr>
          <w:p w14:paraId="11CD68F0" w14:textId="77777777" w:rsidR="00293360" w:rsidRPr="00F63900" w:rsidRDefault="003B666F" w:rsidP="008F03DF">
            <w:pPr>
              <w:spacing w:before="120" w:after="120" w:line="240" w:lineRule="atLeast"/>
              <w:rPr>
                <w:rFonts w:ascii="Arial" w:eastAsia="Times New Roman" w:hAnsi="Arial" w:cs="Arial"/>
                <w:sz w:val="21"/>
                <w:szCs w:val="21"/>
                <w:u w:val="single"/>
                <w:lang w:eastAsia="en-NZ"/>
              </w:rPr>
            </w:pPr>
            <w:hyperlink r:id="rId55" w:tooltip="Click once to display linked information. Click and hold to select this cell." w:history="1">
              <w:r w:rsidR="00293360" w:rsidRPr="00F63900">
                <w:rPr>
                  <w:rFonts w:ascii="Arial" w:eastAsia="Times New Roman" w:hAnsi="Arial" w:cs="Arial"/>
                  <w:sz w:val="21"/>
                  <w:szCs w:val="21"/>
                  <w:u w:val="single"/>
                  <w:lang w:eastAsia="en-NZ"/>
                </w:rPr>
                <w:t>Total, North Island regions</w:t>
              </w:r>
            </w:hyperlink>
          </w:p>
        </w:tc>
        <w:tc>
          <w:tcPr>
            <w:tcW w:w="454" w:type="pct"/>
            <w:tcBorders>
              <w:top w:val="single" w:sz="4" w:space="0" w:color="C0C0C0"/>
              <w:left w:val="single" w:sz="4" w:space="0" w:color="C0C0C0"/>
              <w:bottom w:val="single" w:sz="4" w:space="0" w:color="C0C0C0"/>
              <w:right w:val="single" w:sz="4" w:space="0" w:color="C0C0C0"/>
            </w:tcBorders>
            <w:shd w:val="clear" w:color="000000" w:fill="FDCD7E"/>
            <w:noWrap/>
            <w:vAlign w:val="bottom"/>
          </w:tcPr>
          <w:p w14:paraId="103F712B"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8.11%</w:t>
            </w:r>
          </w:p>
        </w:tc>
        <w:tc>
          <w:tcPr>
            <w:tcW w:w="455" w:type="pct"/>
            <w:tcBorders>
              <w:top w:val="single" w:sz="4" w:space="0" w:color="C0C0C0"/>
              <w:left w:val="single" w:sz="4" w:space="0" w:color="C0C0C0"/>
              <w:bottom w:val="single" w:sz="4" w:space="0" w:color="C0C0C0"/>
              <w:right w:val="single" w:sz="4" w:space="0" w:color="C0C0C0"/>
            </w:tcBorders>
            <w:shd w:val="clear" w:color="000000" w:fill="FA9B74"/>
            <w:noWrap/>
            <w:vAlign w:val="bottom"/>
          </w:tcPr>
          <w:p w14:paraId="6CE53804"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-6.37%</w:t>
            </w:r>
          </w:p>
        </w:tc>
        <w:tc>
          <w:tcPr>
            <w:tcW w:w="454" w:type="pct"/>
            <w:tcBorders>
              <w:top w:val="single" w:sz="4" w:space="0" w:color="C0C0C0"/>
              <w:left w:val="single" w:sz="4" w:space="0" w:color="C0C0C0"/>
              <w:bottom w:val="single" w:sz="4" w:space="0" w:color="C0C0C0"/>
              <w:right w:val="single" w:sz="4" w:space="0" w:color="C0C0C0"/>
            </w:tcBorders>
            <w:shd w:val="clear" w:color="000000" w:fill="F8E984"/>
            <w:noWrap/>
            <w:vAlign w:val="bottom"/>
          </w:tcPr>
          <w:p w14:paraId="30A2D08A"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21.45%</w:t>
            </w:r>
          </w:p>
        </w:tc>
        <w:tc>
          <w:tcPr>
            <w:tcW w:w="454" w:type="pct"/>
            <w:tcBorders>
              <w:top w:val="single" w:sz="4" w:space="0" w:color="C0C0C0"/>
              <w:left w:val="single" w:sz="4" w:space="0" w:color="C0C0C0"/>
              <w:bottom w:val="single" w:sz="4" w:space="0" w:color="C0C0C0"/>
              <w:right w:val="single" w:sz="4" w:space="0" w:color="C0C0C0"/>
            </w:tcBorders>
            <w:shd w:val="clear" w:color="000000" w:fill="FEE482"/>
            <w:noWrap/>
            <w:vAlign w:val="bottom"/>
          </w:tcPr>
          <w:p w14:paraId="712704F0"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14.60%</w:t>
            </w:r>
          </w:p>
        </w:tc>
        <w:tc>
          <w:tcPr>
            <w:tcW w:w="455" w:type="pct"/>
            <w:tcBorders>
              <w:top w:val="single" w:sz="4" w:space="0" w:color="C0C0C0"/>
              <w:left w:val="single" w:sz="4" w:space="0" w:color="C0C0C0"/>
              <w:bottom w:val="single" w:sz="4" w:space="0" w:color="C0C0C0"/>
              <w:right w:val="single" w:sz="4" w:space="0" w:color="C0C0C0"/>
            </w:tcBorders>
            <w:shd w:val="clear" w:color="000000" w:fill="EDE683"/>
            <w:noWrap/>
            <w:vAlign w:val="bottom"/>
          </w:tcPr>
          <w:p w14:paraId="00F55DFB"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29.68%</w:t>
            </w:r>
          </w:p>
        </w:tc>
        <w:tc>
          <w:tcPr>
            <w:tcW w:w="454" w:type="pct"/>
            <w:tcBorders>
              <w:top w:val="single" w:sz="4" w:space="0" w:color="C0C0C0"/>
              <w:left w:val="single" w:sz="4" w:space="0" w:color="C0C0C0"/>
              <w:bottom w:val="single" w:sz="4" w:space="0" w:color="C0C0C0"/>
              <w:right w:val="single" w:sz="4" w:space="0" w:color="C0C0C0"/>
            </w:tcBorders>
            <w:shd w:val="clear" w:color="000000" w:fill="FA9C74"/>
            <w:noWrap/>
            <w:vAlign w:val="bottom"/>
          </w:tcPr>
          <w:p w14:paraId="60232426"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-5.95%</w:t>
            </w:r>
          </w:p>
        </w:tc>
        <w:tc>
          <w:tcPr>
            <w:tcW w:w="454" w:type="pct"/>
            <w:tcBorders>
              <w:top w:val="single" w:sz="4" w:space="0" w:color="C0C0C0"/>
              <w:left w:val="single" w:sz="4" w:space="0" w:color="C0C0C0"/>
              <w:bottom w:val="single" w:sz="4" w:space="0" w:color="C0C0C0"/>
              <w:right w:val="single" w:sz="4" w:space="0" w:color="C0C0C0"/>
            </w:tcBorders>
            <w:shd w:val="clear" w:color="000000" w:fill="FDEB84"/>
            <w:noWrap/>
            <w:vAlign w:val="bottom"/>
          </w:tcPr>
          <w:p w14:paraId="3F2EA7F6"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17.96%</w:t>
            </w:r>
          </w:p>
        </w:tc>
        <w:tc>
          <w:tcPr>
            <w:tcW w:w="455" w:type="pct"/>
            <w:tcBorders>
              <w:top w:val="single" w:sz="4" w:space="0" w:color="C0C0C0"/>
              <w:left w:val="single" w:sz="4" w:space="0" w:color="C0C0C0"/>
              <w:bottom w:val="single" w:sz="4" w:space="0" w:color="C0C0C0"/>
              <w:right w:val="single" w:sz="4" w:space="0" w:color="C0C0C0"/>
            </w:tcBorders>
            <w:shd w:val="clear" w:color="000000" w:fill="FED880"/>
            <w:noWrap/>
            <w:vAlign w:val="bottom"/>
          </w:tcPr>
          <w:p w14:paraId="7BEE6BB8"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11.27%</w:t>
            </w:r>
          </w:p>
        </w:tc>
        <w:tc>
          <w:tcPr>
            <w:tcW w:w="454" w:type="pct"/>
            <w:tcBorders>
              <w:top w:val="single" w:sz="4" w:space="0" w:color="C0C0C0"/>
              <w:left w:val="single" w:sz="4" w:space="0" w:color="C0C0C0"/>
              <w:bottom w:val="single" w:sz="4" w:space="0" w:color="C0C0C0"/>
              <w:right w:val="single" w:sz="4" w:space="0" w:color="C0C0C0"/>
            </w:tcBorders>
            <w:shd w:val="clear" w:color="000000" w:fill="FDCE7E"/>
            <w:noWrap/>
            <w:vAlign w:val="bottom"/>
          </w:tcPr>
          <w:p w14:paraId="04A76C81"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8.24%</w:t>
            </w:r>
          </w:p>
        </w:tc>
        <w:tc>
          <w:tcPr>
            <w:tcW w:w="457" w:type="pct"/>
            <w:tcBorders>
              <w:top w:val="single" w:sz="4" w:space="0" w:color="C0C0C0"/>
              <w:left w:val="single" w:sz="4" w:space="0" w:color="C0C0C0"/>
              <w:bottom w:val="single" w:sz="4" w:space="0" w:color="C0C0C0"/>
              <w:right w:val="single" w:sz="4" w:space="0" w:color="C0C0C0"/>
            </w:tcBorders>
            <w:shd w:val="clear" w:color="000000" w:fill="FA9773"/>
            <w:noWrap/>
            <w:vAlign w:val="bottom"/>
          </w:tcPr>
          <w:p w14:paraId="25FA51AE"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-7.55%</w:t>
            </w:r>
          </w:p>
        </w:tc>
      </w:tr>
      <w:tr w:rsidR="00293360" w:rsidRPr="00B90332" w14:paraId="41FAAB5A" w14:textId="77777777" w:rsidTr="00293360">
        <w:trPr>
          <w:trHeight w:val="800"/>
        </w:trPr>
        <w:tc>
          <w:tcPr>
            <w:tcW w:w="454" w:type="pct"/>
            <w:tcBorders>
              <w:top w:val="nil"/>
              <w:left w:val="nil"/>
              <w:bottom w:val="single" w:sz="4" w:space="0" w:color="C0C0C0"/>
              <w:right w:val="single" w:sz="4" w:space="0" w:color="C0C0C0"/>
            </w:tcBorders>
            <w:shd w:val="clear" w:color="000000" w:fill="D7F7F6"/>
            <w:hideMark/>
          </w:tcPr>
          <w:p w14:paraId="48A710B8" w14:textId="77777777" w:rsidR="00293360" w:rsidRPr="00F63900" w:rsidRDefault="003B666F" w:rsidP="008F03DF">
            <w:pPr>
              <w:spacing w:before="120" w:after="120" w:line="240" w:lineRule="atLeast"/>
              <w:rPr>
                <w:rFonts w:ascii="Arial" w:eastAsia="Times New Roman" w:hAnsi="Arial" w:cs="Arial"/>
                <w:sz w:val="21"/>
                <w:szCs w:val="21"/>
                <w:u w:val="single"/>
                <w:lang w:eastAsia="en-NZ"/>
              </w:rPr>
            </w:pPr>
            <w:hyperlink r:id="rId56" w:tooltip="Click once to display linked information. Click and hold to select this cell." w:history="1">
              <w:r w:rsidR="00293360" w:rsidRPr="00F63900">
                <w:rPr>
                  <w:rFonts w:ascii="Arial" w:eastAsia="Times New Roman" w:hAnsi="Arial" w:cs="Arial"/>
                  <w:sz w:val="21"/>
                  <w:szCs w:val="21"/>
                  <w:u w:val="single"/>
                  <w:lang w:eastAsia="en-NZ"/>
                </w:rPr>
                <w:t>Total, South Island regions</w:t>
              </w:r>
            </w:hyperlink>
          </w:p>
        </w:tc>
        <w:tc>
          <w:tcPr>
            <w:tcW w:w="454" w:type="pct"/>
            <w:tcBorders>
              <w:top w:val="single" w:sz="4" w:space="0" w:color="C0C0C0"/>
              <w:left w:val="single" w:sz="4" w:space="0" w:color="C0C0C0"/>
              <w:bottom w:val="single" w:sz="4" w:space="0" w:color="C0C0C0"/>
              <w:right w:val="single" w:sz="4" w:space="0" w:color="C0C0C0"/>
            </w:tcBorders>
            <w:shd w:val="clear" w:color="000000" w:fill="FDD07E"/>
            <w:noWrap/>
            <w:vAlign w:val="bottom"/>
          </w:tcPr>
          <w:p w14:paraId="4C394D64"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9.03%</w:t>
            </w:r>
          </w:p>
        </w:tc>
        <w:tc>
          <w:tcPr>
            <w:tcW w:w="455" w:type="pct"/>
            <w:tcBorders>
              <w:top w:val="single" w:sz="4" w:space="0" w:color="C0C0C0"/>
              <w:left w:val="single" w:sz="4" w:space="0" w:color="C0C0C0"/>
              <w:bottom w:val="single" w:sz="4" w:space="0" w:color="C0C0C0"/>
              <w:right w:val="single" w:sz="4" w:space="0" w:color="C0C0C0"/>
            </w:tcBorders>
            <w:shd w:val="clear" w:color="000000" w:fill="FBA276"/>
            <w:noWrap/>
            <w:vAlign w:val="bottom"/>
          </w:tcPr>
          <w:p w14:paraId="4D5ADA68"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-4.31%</w:t>
            </w:r>
          </w:p>
        </w:tc>
        <w:tc>
          <w:tcPr>
            <w:tcW w:w="454" w:type="pct"/>
            <w:tcBorders>
              <w:top w:val="single" w:sz="4" w:space="0" w:color="C0C0C0"/>
              <w:left w:val="single" w:sz="4" w:space="0" w:color="C0C0C0"/>
              <w:bottom w:val="single" w:sz="4" w:space="0" w:color="C0C0C0"/>
              <w:right w:val="single" w:sz="4" w:space="0" w:color="C0C0C0"/>
            </w:tcBorders>
            <w:shd w:val="clear" w:color="000000" w:fill="EBE683"/>
            <w:noWrap/>
            <w:vAlign w:val="bottom"/>
          </w:tcPr>
          <w:p w14:paraId="3179A2E5"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30.61%</w:t>
            </w:r>
          </w:p>
        </w:tc>
        <w:tc>
          <w:tcPr>
            <w:tcW w:w="454" w:type="pct"/>
            <w:tcBorders>
              <w:top w:val="single" w:sz="4" w:space="0" w:color="C0C0C0"/>
              <w:left w:val="single" w:sz="4" w:space="0" w:color="C0C0C0"/>
              <w:bottom w:val="single" w:sz="4" w:space="0" w:color="C0C0C0"/>
              <w:right w:val="single" w:sz="4" w:space="0" w:color="C0C0C0"/>
            </w:tcBorders>
            <w:shd w:val="clear" w:color="000000" w:fill="FBEA84"/>
            <w:noWrap/>
            <w:vAlign w:val="bottom"/>
          </w:tcPr>
          <w:p w14:paraId="226B003D"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19.66%</w:t>
            </w:r>
          </w:p>
        </w:tc>
        <w:tc>
          <w:tcPr>
            <w:tcW w:w="455" w:type="pct"/>
            <w:tcBorders>
              <w:top w:val="single" w:sz="4" w:space="0" w:color="C0C0C0"/>
              <w:left w:val="single" w:sz="4" w:space="0" w:color="C0C0C0"/>
              <w:bottom w:val="single" w:sz="4" w:space="0" w:color="C0C0C0"/>
              <w:right w:val="single" w:sz="4" w:space="0" w:color="C0C0C0"/>
            </w:tcBorders>
            <w:shd w:val="clear" w:color="000000" w:fill="E9E583"/>
            <w:noWrap/>
            <w:vAlign w:val="bottom"/>
          </w:tcPr>
          <w:p w14:paraId="7DF4DDDA"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32.35%</w:t>
            </w:r>
          </w:p>
        </w:tc>
        <w:tc>
          <w:tcPr>
            <w:tcW w:w="454" w:type="pct"/>
            <w:tcBorders>
              <w:top w:val="single" w:sz="4" w:space="0" w:color="C0C0C0"/>
              <w:left w:val="single" w:sz="4" w:space="0" w:color="C0C0C0"/>
              <w:bottom w:val="single" w:sz="4" w:space="0" w:color="C0C0C0"/>
              <w:right w:val="single" w:sz="4" w:space="0" w:color="C0C0C0"/>
            </w:tcBorders>
            <w:shd w:val="clear" w:color="000000" w:fill="FDD680"/>
            <w:noWrap/>
            <w:vAlign w:val="bottom"/>
          </w:tcPr>
          <w:p w14:paraId="35EFEF27"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10.59%</w:t>
            </w:r>
          </w:p>
        </w:tc>
        <w:tc>
          <w:tcPr>
            <w:tcW w:w="454" w:type="pct"/>
            <w:tcBorders>
              <w:top w:val="single" w:sz="4" w:space="0" w:color="C0C0C0"/>
              <w:left w:val="single" w:sz="4" w:space="0" w:color="C0C0C0"/>
              <w:bottom w:val="single" w:sz="4" w:space="0" w:color="C0C0C0"/>
              <w:right w:val="single" w:sz="4" w:space="0" w:color="C0C0C0"/>
            </w:tcBorders>
            <w:shd w:val="clear" w:color="000000" w:fill="D2DE82"/>
            <w:noWrap/>
            <w:vAlign w:val="bottom"/>
          </w:tcPr>
          <w:p w14:paraId="50B687DB"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48.18%</w:t>
            </w:r>
          </w:p>
        </w:tc>
        <w:tc>
          <w:tcPr>
            <w:tcW w:w="455" w:type="pct"/>
            <w:tcBorders>
              <w:top w:val="single" w:sz="4" w:space="0" w:color="C0C0C0"/>
              <w:left w:val="single" w:sz="4" w:space="0" w:color="C0C0C0"/>
              <w:bottom w:val="single" w:sz="4" w:space="0" w:color="C0C0C0"/>
              <w:right w:val="single" w:sz="4" w:space="0" w:color="C0C0C0"/>
            </w:tcBorders>
            <w:shd w:val="clear" w:color="000000" w:fill="EDE683"/>
            <w:noWrap/>
            <w:vAlign w:val="bottom"/>
          </w:tcPr>
          <w:p w14:paraId="0586AA7D"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29.21%</w:t>
            </w:r>
          </w:p>
        </w:tc>
        <w:tc>
          <w:tcPr>
            <w:tcW w:w="454" w:type="pct"/>
            <w:tcBorders>
              <w:top w:val="single" w:sz="4" w:space="0" w:color="C0C0C0"/>
              <w:left w:val="single" w:sz="4" w:space="0" w:color="C0C0C0"/>
              <w:bottom w:val="single" w:sz="4" w:space="0" w:color="C0C0C0"/>
              <w:right w:val="single" w:sz="4" w:space="0" w:color="C0C0C0"/>
            </w:tcBorders>
            <w:shd w:val="clear" w:color="000000" w:fill="FDD27F"/>
            <w:noWrap/>
            <w:vAlign w:val="bottom"/>
          </w:tcPr>
          <w:p w14:paraId="1A472D4B"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9.51%</w:t>
            </w:r>
          </w:p>
        </w:tc>
        <w:tc>
          <w:tcPr>
            <w:tcW w:w="457" w:type="pct"/>
            <w:tcBorders>
              <w:top w:val="single" w:sz="4" w:space="0" w:color="C0C0C0"/>
              <w:left w:val="single" w:sz="4" w:space="0" w:color="C0C0C0"/>
              <w:bottom w:val="single" w:sz="4" w:space="0" w:color="C0C0C0"/>
              <w:right w:val="single" w:sz="4" w:space="0" w:color="C0C0C0"/>
            </w:tcBorders>
            <w:shd w:val="clear" w:color="000000" w:fill="FA9C74"/>
            <w:noWrap/>
            <w:vAlign w:val="bottom"/>
          </w:tcPr>
          <w:p w14:paraId="37A14C58" w14:textId="77777777" w:rsidR="00293360" w:rsidRPr="00F63900" w:rsidRDefault="00293360" w:rsidP="008F03DF">
            <w:pPr>
              <w:spacing w:before="120" w:after="120" w:line="240" w:lineRule="atLeast"/>
              <w:jc w:val="right"/>
              <w:rPr>
                <w:rFonts w:ascii="Arial" w:eastAsia="Times New Roman" w:hAnsi="Arial" w:cs="Arial"/>
                <w:sz w:val="21"/>
                <w:szCs w:val="21"/>
                <w:lang w:eastAsia="en-NZ"/>
              </w:rPr>
            </w:pPr>
            <w:r w:rsidRPr="00F63900">
              <w:rPr>
                <w:rFonts w:ascii="Arial" w:hAnsi="Arial" w:cs="Arial"/>
                <w:sz w:val="21"/>
                <w:szCs w:val="21"/>
              </w:rPr>
              <w:t>-6.06%</w:t>
            </w:r>
          </w:p>
        </w:tc>
      </w:tr>
    </w:tbl>
    <w:p w14:paraId="43485FA6" w14:textId="77777777" w:rsidR="005D739C" w:rsidRDefault="00AF6E4F" w:rsidP="00F63900">
      <w:pPr>
        <w:pageBreakBefore/>
        <w:spacing w:before="120" w:after="120" w:line="240" w:lineRule="atLeast"/>
        <w:rPr>
          <w:rFonts w:ascii="Arial" w:hAnsi="Arial" w:cs="Arial"/>
          <w:b/>
          <w:sz w:val="24"/>
          <w:szCs w:val="24"/>
        </w:rPr>
      </w:pPr>
      <w:r>
        <w:rPr>
          <w:rFonts w:ascii="Arial" w:hAnsi="Arial" w:cs="Arial"/>
          <w:b/>
          <w:sz w:val="24"/>
          <w:szCs w:val="24"/>
        </w:rPr>
        <w:lastRenderedPageBreak/>
        <w:t>Medium projec</w:t>
      </w:r>
      <w:r w:rsidR="002232E3">
        <w:rPr>
          <w:rFonts w:ascii="Arial" w:hAnsi="Arial" w:cs="Arial"/>
          <w:b/>
          <w:sz w:val="24"/>
          <w:szCs w:val="24"/>
        </w:rPr>
        <w:t>tion: Year at 30 June 2018 – 202</w:t>
      </w:r>
      <w:r>
        <w:rPr>
          <w:rFonts w:ascii="Arial" w:hAnsi="Arial" w:cs="Arial"/>
          <w:b/>
          <w:sz w:val="24"/>
          <w:szCs w:val="24"/>
        </w:rPr>
        <w:t>8 Numerical Change</w:t>
      </w:r>
    </w:p>
    <w:tbl>
      <w:tblPr>
        <w:tblW w:w="5003" w:type="pct"/>
        <w:tblLayout w:type="fixed"/>
        <w:tblLook w:val="04A0" w:firstRow="1" w:lastRow="0" w:firstColumn="1" w:lastColumn="0" w:noHBand="0" w:noVBand="1"/>
      </w:tblPr>
      <w:tblGrid>
        <w:gridCol w:w="1903"/>
        <w:gridCol w:w="1902"/>
        <w:gridCol w:w="1906"/>
        <w:gridCol w:w="1902"/>
        <w:gridCol w:w="1902"/>
        <w:gridCol w:w="1906"/>
        <w:gridCol w:w="1902"/>
        <w:gridCol w:w="1902"/>
        <w:gridCol w:w="1906"/>
        <w:gridCol w:w="1902"/>
        <w:gridCol w:w="1906"/>
      </w:tblGrid>
      <w:tr w:rsidR="00F63900" w:rsidRPr="0003202A" w14:paraId="6AE9C31B" w14:textId="77777777" w:rsidTr="00F63900">
        <w:trPr>
          <w:trHeight w:val="383"/>
        </w:trPr>
        <w:tc>
          <w:tcPr>
            <w:tcW w:w="454" w:type="pct"/>
            <w:tcBorders>
              <w:top w:val="nil"/>
              <w:left w:val="nil"/>
              <w:bottom w:val="single" w:sz="4" w:space="0" w:color="C0C0C0"/>
              <w:right w:val="single" w:sz="4" w:space="0" w:color="C0C0C0"/>
            </w:tcBorders>
            <w:shd w:val="clear" w:color="auto" w:fill="67999A"/>
            <w:vAlign w:val="center"/>
          </w:tcPr>
          <w:p w14:paraId="6E9F1BE7" w14:textId="526E2B9C" w:rsidR="00293360" w:rsidRPr="00F63900" w:rsidRDefault="00293360" w:rsidP="008F03DF">
            <w:pPr>
              <w:spacing w:before="120" w:after="120" w:line="240" w:lineRule="atLeast"/>
              <w:jc w:val="center"/>
              <w:rPr>
                <w:rFonts w:ascii="Arial" w:eastAsia="Times New Roman" w:hAnsi="Arial" w:cs="Arial"/>
                <w:lang w:eastAsia="en-NZ"/>
              </w:rPr>
            </w:pPr>
            <w:r w:rsidRPr="00F63900">
              <w:rPr>
                <w:rFonts w:ascii="Arial" w:eastAsia="Times New Roman" w:hAnsi="Arial" w:cs="Arial"/>
                <w:lang w:eastAsia="en-NZ"/>
              </w:rPr>
              <w:t>Region</w:t>
            </w:r>
          </w:p>
        </w:tc>
        <w:tc>
          <w:tcPr>
            <w:tcW w:w="454" w:type="pct"/>
            <w:tcBorders>
              <w:top w:val="single" w:sz="4" w:space="0" w:color="C0C0C0"/>
              <w:left w:val="single" w:sz="4" w:space="0" w:color="C0C0C0"/>
              <w:bottom w:val="single" w:sz="4" w:space="0" w:color="C0C0C0"/>
              <w:right w:val="single" w:sz="4" w:space="0" w:color="C0C0C0"/>
            </w:tcBorders>
            <w:shd w:val="clear" w:color="auto" w:fill="67999A"/>
            <w:noWrap/>
            <w:vAlign w:val="center"/>
          </w:tcPr>
          <w:p w14:paraId="68FE6A92" w14:textId="678BF190" w:rsidR="00293360" w:rsidRPr="00F63900" w:rsidRDefault="003B666F" w:rsidP="008F03DF">
            <w:pPr>
              <w:spacing w:before="120" w:after="120" w:line="240" w:lineRule="atLeast"/>
              <w:jc w:val="center"/>
              <w:rPr>
                <w:rFonts w:ascii="Arial" w:eastAsia="Times New Roman" w:hAnsi="Arial" w:cs="Arial"/>
                <w:lang w:eastAsia="en-NZ"/>
              </w:rPr>
            </w:pPr>
            <w:hyperlink r:id="rId57" w:tooltip="Click once to display linked information. Click and hold to select this cell." w:history="1">
              <w:r w:rsidR="00293360" w:rsidRPr="00F63900">
                <w:rPr>
                  <w:rFonts w:ascii="Arial" w:eastAsia="Times New Roman" w:hAnsi="Arial" w:cs="Arial"/>
                  <w:lang w:eastAsia="en-NZ"/>
                </w:rPr>
                <w:t>European or Other (including New Zealander)</w:t>
              </w:r>
            </w:hyperlink>
            <w:r w:rsidR="00293360" w:rsidRPr="00F63900">
              <w:rPr>
                <w:rFonts w:ascii="Arial" w:eastAsia="Times New Roman" w:hAnsi="Arial" w:cs="Arial"/>
                <w:lang w:eastAsia="en-NZ"/>
              </w:rPr>
              <w:t xml:space="preserve"> – 15-19 years</w:t>
            </w:r>
          </w:p>
        </w:tc>
        <w:tc>
          <w:tcPr>
            <w:tcW w:w="455" w:type="pct"/>
            <w:tcBorders>
              <w:top w:val="single" w:sz="4" w:space="0" w:color="C0C0C0"/>
              <w:left w:val="single" w:sz="4" w:space="0" w:color="C0C0C0"/>
              <w:bottom w:val="single" w:sz="4" w:space="0" w:color="C0C0C0"/>
              <w:right w:val="single" w:sz="4" w:space="0" w:color="C0C0C0"/>
            </w:tcBorders>
            <w:shd w:val="clear" w:color="auto" w:fill="67999A"/>
            <w:noWrap/>
            <w:vAlign w:val="center"/>
          </w:tcPr>
          <w:p w14:paraId="034B5469" w14:textId="7EBEFEBF" w:rsidR="00293360" w:rsidRPr="00F63900" w:rsidRDefault="003B666F" w:rsidP="008F03DF">
            <w:pPr>
              <w:spacing w:before="120" w:after="120" w:line="240" w:lineRule="atLeast"/>
              <w:jc w:val="center"/>
              <w:rPr>
                <w:rFonts w:ascii="Arial" w:eastAsia="Times New Roman" w:hAnsi="Arial" w:cs="Arial"/>
                <w:lang w:eastAsia="en-NZ"/>
              </w:rPr>
            </w:pPr>
            <w:hyperlink r:id="rId58" w:tooltip="Click once to display linked information. Click and hold to select this cell." w:history="1">
              <w:r w:rsidR="00293360" w:rsidRPr="00F63900">
                <w:rPr>
                  <w:rFonts w:ascii="Arial" w:eastAsia="Times New Roman" w:hAnsi="Arial" w:cs="Arial"/>
                  <w:lang w:eastAsia="en-NZ"/>
                </w:rPr>
                <w:t>European or Other (including New Zealander)</w:t>
              </w:r>
            </w:hyperlink>
            <w:r w:rsidR="00293360" w:rsidRPr="00F63900">
              <w:rPr>
                <w:rFonts w:ascii="Arial" w:eastAsia="Times New Roman" w:hAnsi="Arial" w:cs="Arial"/>
                <w:lang w:eastAsia="en-NZ"/>
              </w:rPr>
              <w:t xml:space="preserve"> – 20-24 years</w:t>
            </w:r>
          </w:p>
        </w:tc>
        <w:tc>
          <w:tcPr>
            <w:tcW w:w="454" w:type="pct"/>
            <w:tcBorders>
              <w:top w:val="single" w:sz="4" w:space="0" w:color="C0C0C0"/>
              <w:left w:val="single" w:sz="4" w:space="0" w:color="C0C0C0"/>
              <w:bottom w:val="single" w:sz="4" w:space="0" w:color="C0C0C0"/>
              <w:right w:val="single" w:sz="4" w:space="0" w:color="C0C0C0"/>
            </w:tcBorders>
            <w:shd w:val="clear" w:color="auto" w:fill="67999A"/>
            <w:noWrap/>
            <w:vAlign w:val="center"/>
          </w:tcPr>
          <w:p w14:paraId="7BF1ECCC" w14:textId="003FD2A3" w:rsidR="00293360" w:rsidRPr="00F63900" w:rsidRDefault="00293360" w:rsidP="008F03DF">
            <w:pPr>
              <w:spacing w:before="120" w:after="120" w:line="240" w:lineRule="atLeast"/>
              <w:jc w:val="center"/>
              <w:rPr>
                <w:rFonts w:ascii="Arial" w:eastAsia="Times New Roman" w:hAnsi="Arial" w:cs="Arial"/>
                <w:lang w:eastAsia="en-NZ"/>
              </w:rPr>
            </w:pPr>
            <w:r w:rsidRPr="00F63900">
              <w:rPr>
                <w:rFonts w:ascii="Arial" w:eastAsia="Times New Roman" w:hAnsi="Arial" w:cs="Arial"/>
                <w:lang w:eastAsia="en-NZ"/>
              </w:rPr>
              <w:t>Māori - 15-19 years</w:t>
            </w:r>
          </w:p>
        </w:tc>
        <w:tc>
          <w:tcPr>
            <w:tcW w:w="454" w:type="pct"/>
            <w:tcBorders>
              <w:top w:val="single" w:sz="4" w:space="0" w:color="C0C0C0"/>
              <w:left w:val="single" w:sz="4" w:space="0" w:color="C0C0C0"/>
              <w:bottom w:val="single" w:sz="4" w:space="0" w:color="C0C0C0"/>
              <w:right w:val="single" w:sz="4" w:space="0" w:color="C0C0C0"/>
            </w:tcBorders>
            <w:shd w:val="clear" w:color="auto" w:fill="67999A"/>
            <w:noWrap/>
            <w:vAlign w:val="center"/>
          </w:tcPr>
          <w:p w14:paraId="0B165835" w14:textId="2B806466" w:rsidR="00293360" w:rsidRPr="00F63900" w:rsidRDefault="00293360" w:rsidP="008F03DF">
            <w:pPr>
              <w:spacing w:before="120" w:after="120" w:line="240" w:lineRule="atLeast"/>
              <w:jc w:val="center"/>
              <w:rPr>
                <w:rFonts w:ascii="Arial" w:eastAsia="Times New Roman" w:hAnsi="Arial" w:cs="Arial"/>
                <w:lang w:eastAsia="en-NZ"/>
              </w:rPr>
            </w:pPr>
            <w:r w:rsidRPr="00F63900">
              <w:rPr>
                <w:rFonts w:ascii="Arial" w:eastAsia="Times New Roman" w:hAnsi="Arial" w:cs="Arial"/>
                <w:lang w:eastAsia="en-NZ"/>
              </w:rPr>
              <w:t>Māori – 20-24 years</w:t>
            </w:r>
          </w:p>
        </w:tc>
        <w:tc>
          <w:tcPr>
            <w:tcW w:w="455" w:type="pct"/>
            <w:tcBorders>
              <w:top w:val="single" w:sz="4" w:space="0" w:color="C0C0C0"/>
              <w:left w:val="single" w:sz="4" w:space="0" w:color="C0C0C0"/>
              <w:bottom w:val="single" w:sz="4" w:space="0" w:color="C0C0C0"/>
              <w:right w:val="single" w:sz="4" w:space="0" w:color="C0C0C0"/>
            </w:tcBorders>
            <w:shd w:val="clear" w:color="auto" w:fill="67999A"/>
            <w:noWrap/>
            <w:vAlign w:val="center"/>
          </w:tcPr>
          <w:p w14:paraId="7342AAAA" w14:textId="779864D6" w:rsidR="00293360" w:rsidRPr="00F63900" w:rsidRDefault="00293360" w:rsidP="008F03DF">
            <w:pPr>
              <w:spacing w:before="120" w:after="120" w:line="240" w:lineRule="atLeast"/>
              <w:jc w:val="center"/>
              <w:rPr>
                <w:rFonts w:ascii="Arial" w:eastAsia="Times New Roman" w:hAnsi="Arial" w:cs="Arial"/>
                <w:lang w:eastAsia="en-NZ"/>
              </w:rPr>
            </w:pPr>
            <w:r w:rsidRPr="00F63900">
              <w:rPr>
                <w:rFonts w:ascii="Arial" w:eastAsia="Times New Roman" w:hAnsi="Arial" w:cs="Arial"/>
                <w:lang w:eastAsia="en-NZ"/>
              </w:rPr>
              <w:t>Asian 15-19 years</w:t>
            </w:r>
          </w:p>
        </w:tc>
        <w:tc>
          <w:tcPr>
            <w:tcW w:w="454" w:type="pct"/>
            <w:tcBorders>
              <w:top w:val="single" w:sz="4" w:space="0" w:color="C0C0C0"/>
              <w:left w:val="single" w:sz="4" w:space="0" w:color="C0C0C0"/>
              <w:bottom w:val="single" w:sz="4" w:space="0" w:color="C0C0C0"/>
              <w:right w:val="single" w:sz="4" w:space="0" w:color="C0C0C0"/>
            </w:tcBorders>
            <w:shd w:val="clear" w:color="auto" w:fill="67999A"/>
            <w:noWrap/>
            <w:vAlign w:val="center"/>
          </w:tcPr>
          <w:p w14:paraId="5F9A2B8D" w14:textId="2C614E6B" w:rsidR="00293360" w:rsidRPr="00F63900" w:rsidRDefault="00293360" w:rsidP="008F03DF">
            <w:pPr>
              <w:spacing w:before="120" w:after="120" w:line="240" w:lineRule="atLeast"/>
              <w:jc w:val="center"/>
              <w:rPr>
                <w:rFonts w:ascii="Arial" w:eastAsia="Times New Roman" w:hAnsi="Arial" w:cs="Arial"/>
                <w:lang w:eastAsia="en-NZ"/>
              </w:rPr>
            </w:pPr>
            <w:r w:rsidRPr="00F63900">
              <w:rPr>
                <w:rFonts w:ascii="Arial" w:eastAsia="Times New Roman" w:hAnsi="Arial" w:cs="Arial"/>
                <w:lang w:eastAsia="en-NZ"/>
              </w:rPr>
              <w:t>Asian 20-24 years</w:t>
            </w:r>
          </w:p>
        </w:tc>
        <w:tc>
          <w:tcPr>
            <w:tcW w:w="454" w:type="pct"/>
            <w:tcBorders>
              <w:top w:val="single" w:sz="4" w:space="0" w:color="C0C0C0"/>
              <w:left w:val="single" w:sz="4" w:space="0" w:color="C0C0C0"/>
              <w:bottom w:val="single" w:sz="4" w:space="0" w:color="C0C0C0"/>
              <w:right w:val="single" w:sz="4" w:space="0" w:color="C0C0C0"/>
            </w:tcBorders>
            <w:shd w:val="clear" w:color="auto" w:fill="67999A"/>
            <w:noWrap/>
            <w:vAlign w:val="center"/>
          </w:tcPr>
          <w:p w14:paraId="38859A5D" w14:textId="2C0A2F45" w:rsidR="00293360" w:rsidRPr="00F63900" w:rsidRDefault="00293360" w:rsidP="008F03DF">
            <w:pPr>
              <w:spacing w:before="120" w:after="120" w:line="240" w:lineRule="atLeast"/>
              <w:jc w:val="center"/>
              <w:rPr>
                <w:rFonts w:ascii="Arial" w:eastAsia="Times New Roman" w:hAnsi="Arial" w:cs="Arial"/>
                <w:lang w:eastAsia="en-NZ"/>
              </w:rPr>
            </w:pPr>
            <w:r w:rsidRPr="00F63900">
              <w:rPr>
                <w:rFonts w:ascii="Arial" w:eastAsia="Times New Roman" w:hAnsi="Arial" w:cs="Arial"/>
                <w:lang w:eastAsia="en-NZ"/>
              </w:rPr>
              <w:t>Pacific 15-19 years</w:t>
            </w:r>
          </w:p>
        </w:tc>
        <w:tc>
          <w:tcPr>
            <w:tcW w:w="455" w:type="pct"/>
            <w:tcBorders>
              <w:top w:val="single" w:sz="4" w:space="0" w:color="C0C0C0"/>
              <w:left w:val="single" w:sz="4" w:space="0" w:color="C0C0C0"/>
              <w:bottom w:val="single" w:sz="4" w:space="0" w:color="C0C0C0"/>
              <w:right w:val="single" w:sz="4" w:space="0" w:color="C0C0C0"/>
            </w:tcBorders>
            <w:shd w:val="clear" w:color="auto" w:fill="67999A"/>
            <w:noWrap/>
            <w:vAlign w:val="center"/>
          </w:tcPr>
          <w:p w14:paraId="787FA8F7" w14:textId="1DC44016" w:rsidR="00293360" w:rsidRPr="00F63900" w:rsidRDefault="00293360" w:rsidP="008F03DF">
            <w:pPr>
              <w:spacing w:before="120" w:after="120" w:line="240" w:lineRule="atLeast"/>
              <w:jc w:val="center"/>
              <w:rPr>
                <w:rFonts w:ascii="Arial" w:eastAsia="Times New Roman" w:hAnsi="Arial" w:cs="Arial"/>
                <w:lang w:eastAsia="en-NZ"/>
              </w:rPr>
            </w:pPr>
            <w:r w:rsidRPr="00F63900">
              <w:rPr>
                <w:rFonts w:ascii="Arial" w:eastAsia="Times New Roman" w:hAnsi="Arial" w:cs="Arial"/>
                <w:lang w:eastAsia="en-NZ"/>
              </w:rPr>
              <w:t>Pacific 20-24 years</w:t>
            </w:r>
          </w:p>
        </w:tc>
        <w:tc>
          <w:tcPr>
            <w:tcW w:w="454" w:type="pct"/>
            <w:tcBorders>
              <w:top w:val="single" w:sz="4" w:space="0" w:color="C0C0C0"/>
              <w:left w:val="single" w:sz="4" w:space="0" w:color="C0C0C0"/>
              <w:bottom w:val="single" w:sz="4" w:space="0" w:color="C0C0C0"/>
              <w:right w:val="single" w:sz="4" w:space="0" w:color="C0C0C0"/>
            </w:tcBorders>
            <w:shd w:val="clear" w:color="auto" w:fill="67999A"/>
            <w:noWrap/>
            <w:vAlign w:val="center"/>
          </w:tcPr>
          <w:p w14:paraId="5481FB00" w14:textId="0CDB538D" w:rsidR="00293360" w:rsidRPr="00F63900" w:rsidRDefault="00293360" w:rsidP="008F03DF">
            <w:pPr>
              <w:spacing w:before="120" w:after="120" w:line="240" w:lineRule="atLeast"/>
              <w:jc w:val="center"/>
              <w:rPr>
                <w:rFonts w:ascii="Arial" w:eastAsia="Times New Roman" w:hAnsi="Arial" w:cs="Arial"/>
                <w:lang w:eastAsia="en-NZ"/>
              </w:rPr>
            </w:pPr>
            <w:r w:rsidRPr="00F63900">
              <w:rPr>
                <w:rFonts w:ascii="Arial" w:eastAsia="Times New Roman" w:hAnsi="Arial" w:cs="Arial"/>
                <w:u w:val="single"/>
                <w:lang w:eastAsia="en-NZ"/>
              </w:rPr>
              <w:t>Total population – 15-19 years</w:t>
            </w:r>
          </w:p>
        </w:tc>
        <w:tc>
          <w:tcPr>
            <w:tcW w:w="455" w:type="pct"/>
            <w:tcBorders>
              <w:top w:val="single" w:sz="4" w:space="0" w:color="C0C0C0"/>
              <w:left w:val="single" w:sz="4" w:space="0" w:color="C0C0C0"/>
              <w:bottom w:val="single" w:sz="4" w:space="0" w:color="C0C0C0"/>
              <w:right w:val="single" w:sz="4" w:space="0" w:color="C0C0C0"/>
            </w:tcBorders>
            <w:shd w:val="clear" w:color="auto" w:fill="67999A"/>
            <w:noWrap/>
            <w:vAlign w:val="center"/>
          </w:tcPr>
          <w:p w14:paraId="1986FECD" w14:textId="55210D9B" w:rsidR="00293360" w:rsidRPr="00F63900" w:rsidRDefault="00293360" w:rsidP="008F03DF">
            <w:pPr>
              <w:spacing w:before="120" w:after="120" w:line="240" w:lineRule="atLeast"/>
              <w:jc w:val="center"/>
              <w:rPr>
                <w:rFonts w:ascii="Arial" w:eastAsia="Times New Roman" w:hAnsi="Arial" w:cs="Arial"/>
                <w:lang w:eastAsia="en-NZ"/>
              </w:rPr>
            </w:pPr>
            <w:r w:rsidRPr="00F63900">
              <w:rPr>
                <w:rFonts w:ascii="Arial" w:eastAsia="Times New Roman" w:hAnsi="Arial" w:cs="Arial"/>
                <w:u w:val="single"/>
                <w:lang w:eastAsia="en-NZ"/>
              </w:rPr>
              <w:t>Total population – 20-24 years</w:t>
            </w:r>
          </w:p>
        </w:tc>
      </w:tr>
      <w:tr w:rsidR="00F63900" w:rsidRPr="00B90332" w14:paraId="108401FB" w14:textId="77777777" w:rsidTr="00F63900">
        <w:trPr>
          <w:trHeight w:val="383"/>
        </w:trPr>
        <w:tc>
          <w:tcPr>
            <w:tcW w:w="454" w:type="pct"/>
            <w:tcBorders>
              <w:top w:val="nil"/>
              <w:left w:val="nil"/>
              <w:bottom w:val="single" w:sz="4" w:space="0" w:color="C0C0C0"/>
              <w:right w:val="single" w:sz="4" w:space="0" w:color="C0C0C0"/>
            </w:tcBorders>
            <w:shd w:val="clear" w:color="000000" w:fill="D7F7F6"/>
            <w:hideMark/>
          </w:tcPr>
          <w:p w14:paraId="0C5E53CF" w14:textId="77777777" w:rsidR="00B90332" w:rsidRPr="00F63900" w:rsidRDefault="00B90332" w:rsidP="008F03DF">
            <w:pPr>
              <w:spacing w:before="120" w:after="120" w:line="240" w:lineRule="atLeast"/>
              <w:rPr>
                <w:rFonts w:ascii="Arial" w:eastAsia="Times New Roman" w:hAnsi="Arial" w:cs="Arial"/>
                <w:lang w:eastAsia="en-NZ"/>
              </w:rPr>
            </w:pPr>
            <w:r w:rsidRPr="00F63900">
              <w:rPr>
                <w:rFonts w:ascii="Arial" w:eastAsia="Times New Roman" w:hAnsi="Arial" w:cs="Arial"/>
                <w:lang w:eastAsia="en-NZ"/>
              </w:rPr>
              <w:t>Northland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8E984"/>
            <w:noWrap/>
            <w:vAlign w:val="bottom"/>
            <w:hideMark/>
          </w:tcPr>
          <w:p w14:paraId="19C1D5B6"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1230</w:t>
            </w:r>
          </w:p>
        </w:tc>
        <w:tc>
          <w:tcPr>
            <w:tcW w:w="455" w:type="pct"/>
            <w:tcBorders>
              <w:top w:val="single" w:sz="4" w:space="0" w:color="C0C0C0"/>
              <w:left w:val="single" w:sz="4" w:space="0" w:color="C0C0C0"/>
              <w:bottom w:val="single" w:sz="4" w:space="0" w:color="C0C0C0"/>
              <w:right w:val="single" w:sz="4" w:space="0" w:color="C0C0C0"/>
            </w:tcBorders>
            <w:shd w:val="clear" w:color="000000" w:fill="FEE482"/>
            <w:noWrap/>
            <w:vAlign w:val="bottom"/>
            <w:hideMark/>
          </w:tcPr>
          <w:p w14:paraId="3C3072B8"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-830</w:t>
            </w:r>
          </w:p>
        </w:tc>
        <w:tc>
          <w:tcPr>
            <w:tcW w:w="454" w:type="pct"/>
            <w:tcBorders>
              <w:top w:val="single" w:sz="4" w:space="0" w:color="C0C0C0"/>
              <w:left w:val="single" w:sz="4" w:space="0" w:color="C0C0C0"/>
              <w:bottom w:val="single" w:sz="4" w:space="0" w:color="C0C0C0"/>
              <w:right w:val="single" w:sz="4" w:space="0" w:color="C0C0C0"/>
            </w:tcBorders>
            <w:shd w:val="clear" w:color="000000" w:fill="F6E984"/>
            <w:noWrap/>
            <w:vAlign w:val="bottom"/>
            <w:hideMark/>
          </w:tcPr>
          <w:p w14:paraId="29ADE140"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1440</w:t>
            </w:r>
          </w:p>
        </w:tc>
        <w:tc>
          <w:tcPr>
            <w:tcW w:w="454" w:type="pct"/>
            <w:tcBorders>
              <w:top w:val="single" w:sz="4" w:space="0" w:color="C0C0C0"/>
              <w:left w:val="single" w:sz="4" w:space="0" w:color="C0C0C0"/>
              <w:bottom w:val="single" w:sz="4" w:space="0" w:color="C0C0C0"/>
              <w:right w:val="single" w:sz="4" w:space="0" w:color="C0C0C0"/>
            </w:tcBorders>
            <w:shd w:val="clear" w:color="000000" w:fill="FBEA84"/>
            <w:noWrap/>
            <w:vAlign w:val="bottom"/>
            <w:hideMark/>
          </w:tcPr>
          <w:p w14:paraId="0EA71704"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830</w:t>
            </w:r>
          </w:p>
        </w:tc>
        <w:tc>
          <w:tcPr>
            <w:tcW w:w="455" w:type="pct"/>
            <w:tcBorders>
              <w:top w:val="single" w:sz="4" w:space="0" w:color="C0C0C0"/>
              <w:left w:val="single" w:sz="4" w:space="0" w:color="C0C0C0"/>
              <w:bottom w:val="single" w:sz="4" w:space="0" w:color="C0C0C0"/>
              <w:right w:val="single" w:sz="4" w:space="0" w:color="C0C0C0"/>
            </w:tcBorders>
            <w:shd w:val="clear" w:color="000000" w:fill="FFEB84"/>
            <w:noWrap/>
            <w:vAlign w:val="bottom"/>
            <w:hideMark/>
          </w:tcPr>
          <w:p w14:paraId="3B2AA1DC"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280</w:t>
            </w:r>
          </w:p>
        </w:tc>
        <w:tc>
          <w:tcPr>
            <w:tcW w:w="454"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6D90519B"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120</w:t>
            </w:r>
          </w:p>
        </w:tc>
        <w:tc>
          <w:tcPr>
            <w:tcW w:w="454" w:type="pct"/>
            <w:tcBorders>
              <w:top w:val="single" w:sz="4" w:space="0" w:color="C0C0C0"/>
              <w:left w:val="single" w:sz="4" w:space="0" w:color="C0C0C0"/>
              <w:bottom w:val="single" w:sz="4" w:space="0" w:color="C0C0C0"/>
              <w:right w:val="single" w:sz="4" w:space="0" w:color="C0C0C0"/>
            </w:tcBorders>
            <w:shd w:val="clear" w:color="000000" w:fill="FFEB84"/>
            <w:noWrap/>
            <w:vAlign w:val="bottom"/>
            <w:hideMark/>
          </w:tcPr>
          <w:p w14:paraId="54979B99"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340</w:t>
            </w:r>
          </w:p>
        </w:tc>
        <w:tc>
          <w:tcPr>
            <w:tcW w:w="455"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573912D3"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210</w:t>
            </w:r>
          </w:p>
        </w:tc>
        <w:tc>
          <w:tcPr>
            <w:tcW w:w="454" w:type="pct"/>
            <w:tcBorders>
              <w:top w:val="single" w:sz="4" w:space="0" w:color="C0C0C0"/>
              <w:left w:val="single" w:sz="4" w:space="0" w:color="C0C0C0"/>
              <w:bottom w:val="single" w:sz="4" w:space="0" w:color="C0C0C0"/>
              <w:right w:val="single" w:sz="4" w:space="0" w:color="C0C0C0"/>
            </w:tcBorders>
            <w:shd w:val="clear" w:color="000000" w:fill="F6E984"/>
            <w:noWrap/>
            <w:vAlign w:val="bottom"/>
            <w:hideMark/>
          </w:tcPr>
          <w:p w14:paraId="4394051D"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1380</w:t>
            </w:r>
          </w:p>
        </w:tc>
        <w:tc>
          <w:tcPr>
            <w:tcW w:w="455" w:type="pct"/>
            <w:tcBorders>
              <w:top w:val="single" w:sz="4" w:space="0" w:color="C0C0C0"/>
              <w:left w:val="single" w:sz="4" w:space="0" w:color="C0C0C0"/>
              <w:bottom w:val="single" w:sz="4" w:space="0" w:color="C0C0C0"/>
              <w:right w:val="single" w:sz="4" w:space="0" w:color="C0C0C0"/>
            </w:tcBorders>
            <w:shd w:val="clear" w:color="000000" w:fill="FEE482"/>
            <w:noWrap/>
            <w:vAlign w:val="bottom"/>
            <w:hideMark/>
          </w:tcPr>
          <w:p w14:paraId="209508EC"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-770</w:t>
            </w:r>
          </w:p>
        </w:tc>
      </w:tr>
      <w:tr w:rsidR="00F63900" w:rsidRPr="00B90332" w14:paraId="14B0AC04" w14:textId="77777777" w:rsidTr="00F63900">
        <w:trPr>
          <w:trHeight w:val="383"/>
        </w:trPr>
        <w:tc>
          <w:tcPr>
            <w:tcW w:w="454" w:type="pct"/>
            <w:tcBorders>
              <w:top w:val="nil"/>
              <w:left w:val="nil"/>
              <w:bottom w:val="single" w:sz="4" w:space="0" w:color="C0C0C0"/>
              <w:right w:val="single" w:sz="4" w:space="0" w:color="C0C0C0"/>
            </w:tcBorders>
            <w:shd w:val="clear" w:color="000000" w:fill="D7F7F6"/>
            <w:hideMark/>
          </w:tcPr>
          <w:p w14:paraId="334CAF29" w14:textId="77777777" w:rsidR="00B90332" w:rsidRPr="00F63900" w:rsidRDefault="00B90332" w:rsidP="008F03DF">
            <w:pPr>
              <w:spacing w:before="120" w:after="120" w:line="240" w:lineRule="atLeast"/>
              <w:rPr>
                <w:rFonts w:ascii="Arial" w:eastAsia="Times New Roman" w:hAnsi="Arial" w:cs="Arial"/>
                <w:lang w:eastAsia="en-NZ"/>
              </w:rPr>
            </w:pPr>
            <w:r w:rsidRPr="00F63900">
              <w:rPr>
                <w:rFonts w:ascii="Arial" w:eastAsia="Times New Roman" w:hAnsi="Arial" w:cs="Arial"/>
                <w:lang w:eastAsia="en-NZ"/>
              </w:rPr>
              <w:t>Auckland region</w:t>
            </w:r>
          </w:p>
        </w:tc>
        <w:tc>
          <w:tcPr>
            <w:tcW w:w="454" w:type="pct"/>
            <w:tcBorders>
              <w:top w:val="single" w:sz="4" w:space="0" w:color="C0C0C0"/>
              <w:left w:val="single" w:sz="4" w:space="0" w:color="C0C0C0"/>
              <w:bottom w:val="single" w:sz="4" w:space="0" w:color="C0C0C0"/>
              <w:right w:val="single" w:sz="4" w:space="0" w:color="C0C0C0"/>
            </w:tcBorders>
            <w:shd w:val="clear" w:color="000000" w:fill="CDDD82"/>
            <w:noWrap/>
            <w:vAlign w:val="bottom"/>
            <w:hideMark/>
          </w:tcPr>
          <w:p w14:paraId="1FE87B7B"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6540</w:t>
            </w:r>
          </w:p>
        </w:tc>
        <w:tc>
          <w:tcPr>
            <w:tcW w:w="455" w:type="pct"/>
            <w:tcBorders>
              <w:top w:val="single" w:sz="4" w:space="0" w:color="C0C0C0"/>
              <w:left w:val="single" w:sz="4" w:space="0" w:color="C0C0C0"/>
              <w:bottom w:val="single" w:sz="4" w:space="0" w:color="C0C0C0"/>
              <w:right w:val="single" w:sz="4" w:space="0" w:color="C0C0C0"/>
            </w:tcBorders>
            <w:shd w:val="clear" w:color="000000" w:fill="FDD57F"/>
            <w:noWrap/>
            <w:vAlign w:val="bottom"/>
            <w:hideMark/>
          </w:tcPr>
          <w:p w14:paraId="34D5F161"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-3310</w:t>
            </w:r>
          </w:p>
        </w:tc>
        <w:tc>
          <w:tcPr>
            <w:tcW w:w="454" w:type="pct"/>
            <w:tcBorders>
              <w:top w:val="single" w:sz="4" w:space="0" w:color="C0C0C0"/>
              <w:left w:val="single" w:sz="4" w:space="0" w:color="C0C0C0"/>
              <w:bottom w:val="single" w:sz="4" w:space="0" w:color="C0C0C0"/>
              <w:right w:val="single" w:sz="4" w:space="0" w:color="C0C0C0"/>
            </w:tcBorders>
            <w:shd w:val="clear" w:color="000000" w:fill="EAE583"/>
            <w:noWrap/>
            <w:vAlign w:val="bottom"/>
            <w:hideMark/>
          </w:tcPr>
          <w:p w14:paraId="0E99EBF6"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2970</w:t>
            </w:r>
          </w:p>
        </w:tc>
        <w:tc>
          <w:tcPr>
            <w:tcW w:w="454" w:type="pct"/>
            <w:tcBorders>
              <w:top w:val="single" w:sz="4" w:space="0" w:color="C0C0C0"/>
              <w:left w:val="single" w:sz="4" w:space="0" w:color="C0C0C0"/>
              <w:bottom w:val="single" w:sz="4" w:space="0" w:color="C0C0C0"/>
              <w:right w:val="single" w:sz="4" w:space="0" w:color="C0C0C0"/>
            </w:tcBorders>
            <w:shd w:val="clear" w:color="000000" w:fill="F4E884"/>
            <w:noWrap/>
            <w:vAlign w:val="bottom"/>
            <w:hideMark/>
          </w:tcPr>
          <w:p w14:paraId="41FDE80D"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1640</w:t>
            </w:r>
          </w:p>
        </w:tc>
        <w:tc>
          <w:tcPr>
            <w:tcW w:w="455" w:type="pct"/>
            <w:tcBorders>
              <w:top w:val="single" w:sz="4" w:space="0" w:color="C0C0C0"/>
              <w:left w:val="single" w:sz="4" w:space="0" w:color="C0C0C0"/>
              <w:bottom w:val="single" w:sz="4" w:space="0" w:color="C0C0C0"/>
              <w:right w:val="single" w:sz="4" w:space="0" w:color="C0C0C0"/>
            </w:tcBorders>
            <w:shd w:val="clear" w:color="000000" w:fill="D1DE82"/>
            <w:noWrap/>
            <w:vAlign w:val="bottom"/>
            <w:hideMark/>
          </w:tcPr>
          <w:p w14:paraId="44BC1097"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6070</w:t>
            </w:r>
          </w:p>
        </w:tc>
        <w:tc>
          <w:tcPr>
            <w:tcW w:w="454" w:type="pct"/>
            <w:tcBorders>
              <w:top w:val="single" w:sz="4" w:space="0" w:color="C0C0C0"/>
              <w:left w:val="single" w:sz="4" w:space="0" w:color="C0C0C0"/>
              <w:bottom w:val="single" w:sz="4" w:space="0" w:color="C0C0C0"/>
              <w:right w:val="single" w:sz="4" w:space="0" w:color="C0C0C0"/>
            </w:tcBorders>
            <w:shd w:val="clear" w:color="000000" w:fill="FDCE7E"/>
            <w:noWrap/>
            <w:vAlign w:val="bottom"/>
            <w:hideMark/>
          </w:tcPr>
          <w:p w14:paraId="7DD550D6"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-4350</w:t>
            </w:r>
          </w:p>
        </w:tc>
        <w:tc>
          <w:tcPr>
            <w:tcW w:w="454" w:type="pct"/>
            <w:tcBorders>
              <w:top w:val="single" w:sz="4" w:space="0" w:color="C0C0C0"/>
              <w:left w:val="single" w:sz="4" w:space="0" w:color="C0C0C0"/>
              <w:bottom w:val="single" w:sz="4" w:space="0" w:color="C0C0C0"/>
              <w:right w:val="single" w:sz="4" w:space="0" w:color="C0C0C0"/>
            </w:tcBorders>
            <w:shd w:val="clear" w:color="000000" w:fill="EEE683"/>
            <w:noWrap/>
            <w:vAlign w:val="bottom"/>
            <w:hideMark/>
          </w:tcPr>
          <w:p w14:paraId="7B8B15BA"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2420</w:t>
            </w:r>
          </w:p>
        </w:tc>
        <w:tc>
          <w:tcPr>
            <w:tcW w:w="455" w:type="pct"/>
            <w:tcBorders>
              <w:top w:val="single" w:sz="4" w:space="0" w:color="C0C0C0"/>
              <w:left w:val="single" w:sz="4" w:space="0" w:color="C0C0C0"/>
              <w:bottom w:val="single" w:sz="4" w:space="0" w:color="C0C0C0"/>
              <w:right w:val="single" w:sz="4" w:space="0" w:color="C0C0C0"/>
            </w:tcBorders>
            <w:shd w:val="clear" w:color="000000" w:fill="F3E884"/>
            <w:noWrap/>
            <w:vAlign w:val="bottom"/>
            <w:hideMark/>
          </w:tcPr>
          <w:p w14:paraId="21CD87AB"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1750</w:t>
            </w:r>
          </w:p>
        </w:tc>
        <w:tc>
          <w:tcPr>
            <w:tcW w:w="454" w:type="pct"/>
            <w:tcBorders>
              <w:top w:val="single" w:sz="4" w:space="0" w:color="C0C0C0"/>
              <w:left w:val="single" w:sz="4" w:space="0" w:color="C0C0C0"/>
              <w:bottom w:val="single" w:sz="4" w:space="0" w:color="C0C0C0"/>
              <w:right w:val="single" w:sz="4" w:space="0" w:color="C0C0C0"/>
            </w:tcBorders>
            <w:shd w:val="clear" w:color="000000" w:fill="B5D680"/>
            <w:noWrap/>
            <w:vAlign w:val="bottom"/>
            <w:hideMark/>
          </w:tcPr>
          <w:p w14:paraId="64DA71C7"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9650</w:t>
            </w:r>
          </w:p>
        </w:tc>
        <w:tc>
          <w:tcPr>
            <w:tcW w:w="455" w:type="pct"/>
            <w:tcBorders>
              <w:top w:val="single" w:sz="4" w:space="0" w:color="C0C0C0"/>
              <w:left w:val="single" w:sz="4" w:space="0" w:color="C0C0C0"/>
              <w:bottom w:val="single" w:sz="4" w:space="0" w:color="C0C0C0"/>
              <w:right w:val="single" w:sz="4" w:space="0" w:color="C0C0C0"/>
            </w:tcBorders>
            <w:shd w:val="clear" w:color="000000" w:fill="FBAD78"/>
            <w:noWrap/>
            <w:vAlign w:val="bottom"/>
            <w:hideMark/>
          </w:tcPr>
          <w:p w14:paraId="2B4BC426"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-9730</w:t>
            </w:r>
          </w:p>
        </w:tc>
      </w:tr>
      <w:tr w:rsidR="00F63900" w:rsidRPr="00B90332" w14:paraId="7CC1C863" w14:textId="77777777" w:rsidTr="00F63900">
        <w:trPr>
          <w:trHeight w:val="383"/>
        </w:trPr>
        <w:tc>
          <w:tcPr>
            <w:tcW w:w="454" w:type="pct"/>
            <w:tcBorders>
              <w:top w:val="nil"/>
              <w:left w:val="nil"/>
              <w:bottom w:val="single" w:sz="4" w:space="0" w:color="C0C0C0"/>
              <w:right w:val="single" w:sz="4" w:space="0" w:color="C0C0C0"/>
            </w:tcBorders>
            <w:shd w:val="clear" w:color="000000" w:fill="D7F7F6"/>
            <w:hideMark/>
          </w:tcPr>
          <w:p w14:paraId="58C3D07F" w14:textId="77777777" w:rsidR="00B90332" w:rsidRPr="00F63900" w:rsidRDefault="00B90332" w:rsidP="008F03DF">
            <w:pPr>
              <w:spacing w:before="120" w:after="120" w:line="240" w:lineRule="atLeast"/>
              <w:rPr>
                <w:rFonts w:ascii="Arial" w:eastAsia="Times New Roman" w:hAnsi="Arial" w:cs="Arial"/>
                <w:lang w:eastAsia="en-NZ"/>
              </w:rPr>
            </w:pPr>
            <w:r w:rsidRPr="00F63900">
              <w:rPr>
                <w:rFonts w:ascii="Arial" w:eastAsia="Times New Roman" w:hAnsi="Arial" w:cs="Arial"/>
                <w:lang w:eastAsia="en-NZ"/>
              </w:rPr>
              <w:t>Waikato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1E784"/>
            <w:noWrap/>
            <w:vAlign w:val="bottom"/>
            <w:hideMark/>
          </w:tcPr>
          <w:p w14:paraId="6B227712"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2000</w:t>
            </w:r>
          </w:p>
        </w:tc>
        <w:tc>
          <w:tcPr>
            <w:tcW w:w="455" w:type="pct"/>
            <w:tcBorders>
              <w:top w:val="single" w:sz="4" w:space="0" w:color="C0C0C0"/>
              <w:left w:val="single" w:sz="4" w:space="0" w:color="C0C0C0"/>
              <w:bottom w:val="single" w:sz="4" w:space="0" w:color="C0C0C0"/>
              <w:right w:val="single" w:sz="4" w:space="0" w:color="C0C0C0"/>
            </w:tcBorders>
            <w:shd w:val="clear" w:color="000000" w:fill="FEE282"/>
            <w:noWrap/>
            <w:vAlign w:val="bottom"/>
            <w:hideMark/>
          </w:tcPr>
          <w:p w14:paraId="243ECCB3"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-1180</w:t>
            </w:r>
          </w:p>
        </w:tc>
        <w:tc>
          <w:tcPr>
            <w:tcW w:w="454" w:type="pct"/>
            <w:tcBorders>
              <w:top w:val="single" w:sz="4" w:space="0" w:color="C0C0C0"/>
              <w:left w:val="single" w:sz="4" w:space="0" w:color="C0C0C0"/>
              <w:bottom w:val="single" w:sz="4" w:space="0" w:color="C0C0C0"/>
              <w:right w:val="single" w:sz="4" w:space="0" w:color="C0C0C0"/>
            </w:tcBorders>
            <w:shd w:val="clear" w:color="000000" w:fill="EBE683"/>
            <w:noWrap/>
            <w:vAlign w:val="bottom"/>
            <w:hideMark/>
          </w:tcPr>
          <w:p w14:paraId="183FBCE1"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2840</w:t>
            </w:r>
          </w:p>
        </w:tc>
        <w:tc>
          <w:tcPr>
            <w:tcW w:w="454" w:type="pct"/>
            <w:tcBorders>
              <w:top w:val="single" w:sz="4" w:space="0" w:color="C0C0C0"/>
              <w:left w:val="single" w:sz="4" w:space="0" w:color="C0C0C0"/>
              <w:bottom w:val="single" w:sz="4" w:space="0" w:color="C0C0C0"/>
              <w:right w:val="single" w:sz="4" w:space="0" w:color="C0C0C0"/>
            </w:tcBorders>
            <w:shd w:val="clear" w:color="000000" w:fill="F3E884"/>
            <w:noWrap/>
            <w:vAlign w:val="bottom"/>
            <w:hideMark/>
          </w:tcPr>
          <w:p w14:paraId="603DD303"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1830</w:t>
            </w:r>
          </w:p>
        </w:tc>
        <w:tc>
          <w:tcPr>
            <w:tcW w:w="455" w:type="pct"/>
            <w:tcBorders>
              <w:top w:val="single" w:sz="4" w:space="0" w:color="C0C0C0"/>
              <w:left w:val="single" w:sz="4" w:space="0" w:color="C0C0C0"/>
              <w:bottom w:val="single" w:sz="4" w:space="0" w:color="C0C0C0"/>
              <w:right w:val="single" w:sz="4" w:space="0" w:color="C0C0C0"/>
            </w:tcBorders>
            <w:shd w:val="clear" w:color="000000" w:fill="F6E984"/>
            <w:noWrap/>
            <w:vAlign w:val="bottom"/>
            <w:hideMark/>
          </w:tcPr>
          <w:p w14:paraId="3ED4FAAC"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1470</w:t>
            </w:r>
          </w:p>
        </w:tc>
        <w:tc>
          <w:tcPr>
            <w:tcW w:w="454" w:type="pct"/>
            <w:tcBorders>
              <w:top w:val="single" w:sz="4" w:space="0" w:color="C0C0C0"/>
              <w:left w:val="single" w:sz="4" w:space="0" w:color="C0C0C0"/>
              <w:bottom w:val="single" w:sz="4" w:space="0" w:color="C0C0C0"/>
              <w:right w:val="single" w:sz="4" w:space="0" w:color="C0C0C0"/>
            </w:tcBorders>
            <w:shd w:val="clear" w:color="000000" w:fill="FFEB84"/>
            <w:noWrap/>
            <w:vAlign w:val="bottom"/>
            <w:hideMark/>
          </w:tcPr>
          <w:p w14:paraId="0BA1777F"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360</w:t>
            </w:r>
          </w:p>
        </w:tc>
        <w:tc>
          <w:tcPr>
            <w:tcW w:w="454" w:type="pct"/>
            <w:tcBorders>
              <w:top w:val="single" w:sz="4" w:space="0" w:color="C0C0C0"/>
              <w:left w:val="single" w:sz="4" w:space="0" w:color="C0C0C0"/>
              <w:bottom w:val="single" w:sz="4" w:space="0" w:color="C0C0C0"/>
              <w:right w:val="single" w:sz="4" w:space="0" w:color="C0C0C0"/>
            </w:tcBorders>
            <w:shd w:val="clear" w:color="000000" w:fill="F9EA84"/>
            <w:noWrap/>
            <w:vAlign w:val="bottom"/>
            <w:hideMark/>
          </w:tcPr>
          <w:p w14:paraId="4C7202E6"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1010</w:t>
            </w:r>
          </w:p>
        </w:tc>
        <w:tc>
          <w:tcPr>
            <w:tcW w:w="455" w:type="pct"/>
            <w:tcBorders>
              <w:top w:val="single" w:sz="4" w:space="0" w:color="C0C0C0"/>
              <w:left w:val="single" w:sz="4" w:space="0" w:color="C0C0C0"/>
              <w:bottom w:val="single" w:sz="4" w:space="0" w:color="C0C0C0"/>
              <w:right w:val="single" w:sz="4" w:space="0" w:color="C0C0C0"/>
            </w:tcBorders>
            <w:shd w:val="clear" w:color="000000" w:fill="FDEB84"/>
            <w:noWrap/>
            <w:vAlign w:val="bottom"/>
            <w:hideMark/>
          </w:tcPr>
          <w:p w14:paraId="4CE6217F"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510</w:t>
            </w:r>
          </w:p>
        </w:tc>
        <w:tc>
          <w:tcPr>
            <w:tcW w:w="454" w:type="pct"/>
            <w:tcBorders>
              <w:top w:val="single" w:sz="4" w:space="0" w:color="C0C0C0"/>
              <w:left w:val="single" w:sz="4" w:space="0" w:color="C0C0C0"/>
              <w:bottom w:val="single" w:sz="4" w:space="0" w:color="C0C0C0"/>
              <w:right w:val="single" w:sz="4" w:space="0" w:color="C0C0C0"/>
            </w:tcBorders>
            <w:shd w:val="clear" w:color="000000" w:fill="E4E483"/>
            <w:noWrap/>
            <w:vAlign w:val="bottom"/>
            <w:hideMark/>
          </w:tcPr>
          <w:p w14:paraId="339FED37"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3700</w:t>
            </w:r>
          </w:p>
        </w:tc>
        <w:tc>
          <w:tcPr>
            <w:tcW w:w="455" w:type="pct"/>
            <w:tcBorders>
              <w:top w:val="single" w:sz="4" w:space="0" w:color="C0C0C0"/>
              <w:left w:val="single" w:sz="4" w:space="0" w:color="C0C0C0"/>
              <w:bottom w:val="single" w:sz="4" w:space="0" w:color="C0C0C0"/>
              <w:right w:val="single" w:sz="4" w:space="0" w:color="C0C0C0"/>
            </w:tcBorders>
            <w:shd w:val="clear" w:color="000000" w:fill="FED880"/>
            <w:noWrap/>
            <w:vAlign w:val="bottom"/>
            <w:hideMark/>
          </w:tcPr>
          <w:p w14:paraId="195C15EC"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-2690</w:t>
            </w:r>
          </w:p>
        </w:tc>
      </w:tr>
      <w:tr w:rsidR="00F63900" w:rsidRPr="00B90332" w14:paraId="39CBDEE3" w14:textId="77777777" w:rsidTr="00F63900">
        <w:trPr>
          <w:trHeight w:val="575"/>
        </w:trPr>
        <w:tc>
          <w:tcPr>
            <w:tcW w:w="454" w:type="pct"/>
            <w:tcBorders>
              <w:top w:val="nil"/>
              <w:left w:val="nil"/>
              <w:bottom w:val="single" w:sz="4" w:space="0" w:color="C0C0C0"/>
              <w:right w:val="single" w:sz="4" w:space="0" w:color="C0C0C0"/>
            </w:tcBorders>
            <w:shd w:val="clear" w:color="000000" w:fill="D7F7F6"/>
            <w:hideMark/>
          </w:tcPr>
          <w:p w14:paraId="31316D03" w14:textId="77777777" w:rsidR="00B90332" w:rsidRPr="00F63900" w:rsidRDefault="00B90332" w:rsidP="008F03DF">
            <w:pPr>
              <w:spacing w:before="120" w:after="120" w:line="240" w:lineRule="atLeast"/>
              <w:rPr>
                <w:rFonts w:ascii="Arial" w:eastAsia="Times New Roman" w:hAnsi="Arial" w:cs="Arial"/>
                <w:lang w:eastAsia="en-NZ"/>
              </w:rPr>
            </w:pPr>
            <w:r w:rsidRPr="00F63900">
              <w:rPr>
                <w:rFonts w:ascii="Arial" w:eastAsia="Times New Roman" w:hAnsi="Arial" w:cs="Arial"/>
                <w:lang w:eastAsia="en-NZ"/>
              </w:rPr>
              <w:t>Bay of Plenty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EEB84"/>
            <w:noWrap/>
            <w:vAlign w:val="bottom"/>
            <w:hideMark/>
          </w:tcPr>
          <w:p w14:paraId="502FC70F"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410</w:t>
            </w:r>
          </w:p>
        </w:tc>
        <w:tc>
          <w:tcPr>
            <w:tcW w:w="455" w:type="pct"/>
            <w:tcBorders>
              <w:top w:val="single" w:sz="4" w:space="0" w:color="C0C0C0"/>
              <w:left w:val="single" w:sz="4" w:space="0" w:color="C0C0C0"/>
              <w:bottom w:val="single" w:sz="4" w:space="0" w:color="C0C0C0"/>
              <w:right w:val="single" w:sz="4" w:space="0" w:color="C0C0C0"/>
            </w:tcBorders>
            <w:shd w:val="clear" w:color="000000" w:fill="FEE683"/>
            <w:noWrap/>
            <w:vAlign w:val="bottom"/>
            <w:hideMark/>
          </w:tcPr>
          <w:p w14:paraId="53F4626A"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-540</w:t>
            </w:r>
          </w:p>
        </w:tc>
        <w:tc>
          <w:tcPr>
            <w:tcW w:w="454" w:type="pct"/>
            <w:tcBorders>
              <w:top w:val="single" w:sz="4" w:space="0" w:color="C0C0C0"/>
              <w:left w:val="single" w:sz="4" w:space="0" w:color="C0C0C0"/>
              <w:bottom w:val="single" w:sz="4" w:space="0" w:color="C0C0C0"/>
              <w:right w:val="single" w:sz="4" w:space="0" w:color="C0C0C0"/>
            </w:tcBorders>
            <w:shd w:val="clear" w:color="000000" w:fill="F4E884"/>
            <w:noWrap/>
            <w:vAlign w:val="bottom"/>
            <w:hideMark/>
          </w:tcPr>
          <w:p w14:paraId="61705FC9"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1690</w:t>
            </w:r>
          </w:p>
        </w:tc>
        <w:tc>
          <w:tcPr>
            <w:tcW w:w="454" w:type="pct"/>
            <w:tcBorders>
              <w:top w:val="single" w:sz="4" w:space="0" w:color="C0C0C0"/>
              <w:left w:val="single" w:sz="4" w:space="0" w:color="C0C0C0"/>
              <w:bottom w:val="single" w:sz="4" w:space="0" w:color="C0C0C0"/>
              <w:right w:val="single" w:sz="4" w:space="0" w:color="C0C0C0"/>
            </w:tcBorders>
            <w:shd w:val="clear" w:color="000000" w:fill="F5E984"/>
            <w:noWrap/>
            <w:vAlign w:val="bottom"/>
            <w:hideMark/>
          </w:tcPr>
          <w:p w14:paraId="2F1795B6"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1510</w:t>
            </w:r>
          </w:p>
        </w:tc>
        <w:tc>
          <w:tcPr>
            <w:tcW w:w="455" w:type="pct"/>
            <w:tcBorders>
              <w:top w:val="single" w:sz="4" w:space="0" w:color="C0C0C0"/>
              <w:left w:val="single" w:sz="4" w:space="0" w:color="C0C0C0"/>
              <w:bottom w:val="single" w:sz="4" w:space="0" w:color="C0C0C0"/>
              <w:right w:val="single" w:sz="4" w:space="0" w:color="C0C0C0"/>
            </w:tcBorders>
            <w:shd w:val="clear" w:color="000000" w:fill="FBEA84"/>
            <w:noWrap/>
            <w:vAlign w:val="bottom"/>
            <w:hideMark/>
          </w:tcPr>
          <w:p w14:paraId="36D72BFA"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750</w:t>
            </w:r>
          </w:p>
        </w:tc>
        <w:tc>
          <w:tcPr>
            <w:tcW w:w="454" w:type="pct"/>
            <w:tcBorders>
              <w:top w:val="single" w:sz="4" w:space="0" w:color="C0C0C0"/>
              <w:left w:val="single" w:sz="4" w:space="0" w:color="C0C0C0"/>
              <w:bottom w:val="single" w:sz="4" w:space="0" w:color="C0C0C0"/>
              <w:right w:val="single" w:sz="4" w:space="0" w:color="C0C0C0"/>
            </w:tcBorders>
            <w:shd w:val="clear" w:color="000000" w:fill="FFEB84"/>
            <w:noWrap/>
            <w:vAlign w:val="bottom"/>
            <w:hideMark/>
          </w:tcPr>
          <w:p w14:paraId="77BEECE2"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250</w:t>
            </w:r>
          </w:p>
        </w:tc>
        <w:tc>
          <w:tcPr>
            <w:tcW w:w="454" w:type="pct"/>
            <w:tcBorders>
              <w:top w:val="single" w:sz="4" w:space="0" w:color="C0C0C0"/>
              <w:left w:val="single" w:sz="4" w:space="0" w:color="C0C0C0"/>
              <w:bottom w:val="single" w:sz="4" w:space="0" w:color="C0C0C0"/>
              <w:right w:val="single" w:sz="4" w:space="0" w:color="C0C0C0"/>
            </w:tcBorders>
            <w:shd w:val="clear" w:color="000000" w:fill="FDEB84"/>
            <w:noWrap/>
            <w:vAlign w:val="bottom"/>
            <w:hideMark/>
          </w:tcPr>
          <w:p w14:paraId="72929CD9"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590</w:t>
            </w:r>
          </w:p>
        </w:tc>
        <w:tc>
          <w:tcPr>
            <w:tcW w:w="455" w:type="pct"/>
            <w:tcBorders>
              <w:top w:val="single" w:sz="4" w:space="0" w:color="C0C0C0"/>
              <w:left w:val="single" w:sz="4" w:space="0" w:color="C0C0C0"/>
              <w:bottom w:val="single" w:sz="4" w:space="0" w:color="C0C0C0"/>
              <w:right w:val="single" w:sz="4" w:space="0" w:color="C0C0C0"/>
            </w:tcBorders>
            <w:shd w:val="clear" w:color="000000" w:fill="FEEB84"/>
            <w:noWrap/>
            <w:vAlign w:val="bottom"/>
            <w:hideMark/>
          </w:tcPr>
          <w:p w14:paraId="7D982FAF"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380</w:t>
            </w:r>
          </w:p>
        </w:tc>
        <w:tc>
          <w:tcPr>
            <w:tcW w:w="454" w:type="pct"/>
            <w:tcBorders>
              <w:top w:val="single" w:sz="4" w:space="0" w:color="C0C0C0"/>
              <w:left w:val="single" w:sz="4" w:space="0" w:color="C0C0C0"/>
              <w:bottom w:val="single" w:sz="4" w:space="0" w:color="C0C0C0"/>
              <w:right w:val="single" w:sz="4" w:space="0" w:color="C0C0C0"/>
            </w:tcBorders>
            <w:shd w:val="clear" w:color="000000" w:fill="F7E984"/>
            <w:noWrap/>
            <w:vAlign w:val="bottom"/>
            <w:hideMark/>
          </w:tcPr>
          <w:p w14:paraId="526A3A58"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1270</w:t>
            </w:r>
          </w:p>
        </w:tc>
        <w:tc>
          <w:tcPr>
            <w:tcW w:w="455" w:type="pct"/>
            <w:tcBorders>
              <w:top w:val="single" w:sz="4" w:space="0" w:color="C0C0C0"/>
              <w:left w:val="single" w:sz="4" w:space="0" w:color="C0C0C0"/>
              <w:bottom w:val="single" w:sz="4" w:space="0" w:color="C0C0C0"/>
              <w:right w:val="single" w:sz="4" w:space="0" w:color="C0C0C0"/>
            </w:tcBorders>
            <w:shd w:val="clear" w:color="000000" w:fill="FEE082"/>
            <w:noWrap/>
            <w:vAlign w:val="bottom"/>
            <w:hideMark/>
          </w:tcPr>
          <w:p w14:paraId="504D1FDA"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-1400</w:t>
            </w:r>
          </w:p>
        </w:tc>
      </w:tr>
      <w:tr w:rsidR="00F63900" w:rsidRPr="00B90332" w14:paraId="0D0440E2" w14:textId="77777777" w:rsidTr="00F63900">
        <w:trPr>
          <w:trHeight w:val="383"/>
        </w:trPr>
        <w:tc>
          <w:tcPr>
            <w:tcW w:w="454" w:type="pct"/>
            <w:tcBorders>
              <w:top w:val="nil"/>
              <w:left w:val="nil"/>
              <w:bottom w:val="single" w:sz="4" w:space="0" w:color="C0C0C0"/>
              <w:right w:val="single" w:sz="4" w:space="0" w:color="C0C0C0"/>
            </w:tcBorders>
            <w:shd w:val="clear" w:color="000000" w:fill="D7F7F6"/>
            <w:hideMark/>
          </w:tcPr>
          <w:p w14:paraId="5D328B7F" w14:textId="77777777" w:rsidR="00B90332" w:rsidRPr="00F63900" w:rsidRDefault="00B90332" w:rsidP="008F03DF">
            <w:pPr>
              <w:spacing w:before="120" w:after="120" w:line="240" w:lineRule="atLeast"/>
              <w:rPr>
                <w:rFonts w:ascii="Arial" w:eastAsia="Times New Roman" w:hAnsi="Arial" w:cs="Arial"/>
                <w:lang w:eastAsia="en-NZ"/>
              </w:rPr>
            </w:pPr>
            <w:r w:rsidRPr="00F63900">
              <w:rPr>
                <w:rFonts w:ascii="Arial" w:eastAsia="Times New Roman" w:hAnsi="Arial" w:cs="Arial"/>
                <w:lang w:eastAsia="en-NZ"/>
              </w:rPr>
              <w:t>Gisborne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FEB84"/>
            <w:noWrap/>
            <w:vAlign w:val="bottom"/>
            <w:hideMark/>
          </w:tcPr>
          <w:p w14:paraId="771E6997"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240</w:t>
            </w:r>
          </w:p>
        </w:tc>
        <w:tc>
          <w:tcPr>
            <w:tcW w:w="455" w:type="pct"/>
            <w:tcBorders>
              <w:top w:val="single" w:sz="4" w:space="0" w:color="C0C0C0"/>
              <w:left w:val="single" w:sz="4" w:space="0" w:color="C0C0C0"/>
              <w:bottom w:val="single" w:sz="4" w:space="0" w:color="C0C0C0"/>
              <w:right w:val="single" w:sz="4" w:space="0" w:color="C0C0C0"/>
            </w:tcBorders>
            <w:shd w:val="clear" w:color="000000" w:fill="FEE783"/>
            <w:noWrap/>
            <w:vAlign w:val="bottom"/>
            <w:hideMark/>
          </w:tcPr>
          <w:p w14:paraId="64C5B99E"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-300</w:t>
            </w:r>
          </w:p>
        </w:tc>
        <w:tc>
          <w:tcPr>
            <w:tcW w:w="454" w:type="pct"/>
            <w:tcBorders>
              <w:top w:val="single" w:sz="4" w:space="0" w:color="C0C0C0"/>
              <w:left w:val="single" w:sz="4" w:space="0" w:color="C0C0C0"/>
              <w:bottom w:val="single" w:sz="4" w:space="0" w:color="C0C0C0"/>
              <w:right w:val="single" w:sz="4" w:space="0" w:color="C0C0C0"/>
            </w:tcBorders>
            <w:shd w:val="clear" w:color="000000" w:fill="FFEB84"/>
            <w:noWrap/>
            <w:vAlign w:val="bottom"/>
            <w:hideMark/>
          </w:tcPr>
          <w:p w14:paraId="106ED4AB"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270</w:t>
            </w:r>
          </w:p>
        </w:tc>
        <w:tc>
          <w:tcPr>
            <w:tcW w:w="454" w:type="pct"/>
            <w:tcBorders>
              <w:top w:val="single" w:sz="4" w:space="0" w:color="C0C0C0"/>
              <w:left w:val="single" w:sz="4" w:space="0" w:color="C0C0C0"/>
              <w:bottom w:val="single" w:sz="4" w:space="0" w:color="C0C0C0"/>
              <w:right w:val="single" w:sz="4" w:space="0" w:color="C0C0C0"/>
            </w:tcBorders>
            <w:shd w:val="clear" w:color="000000" w:fill="FEEB84"/>
            <w:noWrap/>
            <w:vAlign w:val="bottom"/>
            <w:hideMark/>
          </w:tcPr>
          <w:p w14:paraId="06E157AD"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380</w:t>
            </w:r>
          </w:p>
        </w:tc>
        <w:tc>
          <w:tcPr>
            <w:tcW w:w="455"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0DED3A21"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70</w:t>
            </w:r>
          </w:p>
        </w:tc>
        <w:tc>
          <w:tcPr>
            <w:tcW w:w="454"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60DBB2E4"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30</w:t>
            </w:r>
          </w:p>
        </w:tc>
        <w:tc>
          <w:tcPr>
            <w:tcW w:w="454"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676AC9CA"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80</w:t>
            </w:r>
          </w:p>
        </w:tc>
        <w:tc>
          <w:tcPr>
            <w:tcW w:w="455"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06CC38FB"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110</w:t>
            </w:r>
          </w:p>
        </w:tc>
        <w:tc>
          <w:tcPr>
            <w:tcW w:w="454"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63B2AC8E"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160</w:t>
            </w:r>
          </w:p>
        </w:tc>
        <w:tc>
          <w:tcPr>
            <w:tcW w:w="455" w:type="pct"/>
            <w:tcBorders>
              <w:top w:val="single" w:sz="4" w:space="0" w:color="C0C0C0"/>
              <w:left w:val="single" w:sz="4" w:space="0" w:color="C0C0C0"/>
              <w:bottom w:val="single" w:sz="4" w:space="0" w:color="C0C0C0"/>
              <w:right w:val="single" w:sz="4" w:space="0" w:color="C0C0C0"/>
            </w:tcBorders>
            <w:shd w:val="clear" w:color="000000" w:fill="FEE883"/>
            <w:noWrap/>
            <w:vAlign w:val="bottom"/>
            <w:hideMark/>
          </w:tcPr>
          <w:p w14:paraId="5892A657"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-130</w:t>
            </w:r>
          </w:p>
        </w:tc>
      </w:tr>
      <w:tr w:rsidR="00F63900" w:rsidRPr="00B90332" w14:paraId="368D7B74" w14:textId="77777777" w:rsidTr="00F63900">
        <w:trPr>
          <w:trHeight w:val="383"/>
        </w:trPr>
        <w:tc>
          <w:tcPr>
            <w:tcW w:w="454" w:type="pct"/>
            <w:tcBorders>
              <w:top w:val="nil"/>
              <w:left w:val="nil"/>
              <w:bottom w:val="single" w:sz="4" w:space="0" w:color="C0C0C0"/>
              <w:right w:val="single" w:sz="4" w:space="0" w:color="C0C0C0"/>
            </w:tcBorders>
            <w:shd w:val="clear" w:color="000000" w:fill="D7F7F6"/>
            <w:hideMark/>
          </w:tcPr>
          <w:p w14:paraId="7739D971" w14:textId="77777777" w:rsidR="00B90332" w:rsidRPr="00F63900" w:rsidRDefault="00B90332" w:rsidP="008F03DF">
            <w:pPr>
              <w:spacing w:before="120" w:after="120" w:line="240" w:lineRule="atLeast"/>
              <w:rPr>
                <w:rFonts w:ascii="Arial" w:eastAsia="Times New Roman" w:hAnsi="Arial" w:cs="Arial"/>
                <w:lang w:eastAsia="en-NZ"/>
              </w:rPr>
            </w:pPr>
            <w:r w:rsidRPr="00F63900">
              <w:rPr>
                <w:rFonts w:ascii="Arial" w:eastAsia="Times New Roman" w:hAnsi="Arial" w:cs="Arial"/>
                <w:lang w:eastAsia="en-NZ"/>
              </w:rPr>
              <w:t>Hawke's Bay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FEB84"/>
            <w:noWrap/>
            <w:vAlign w:val="bottom"/>
            <w:hideMark/>
          </w:tcPr>
          <w:p w14:paraId="0157BEDD"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330</w:t>
            </w:r>
          </w:p>
        </w:tc>
        <w:tc>
          <w:tcPr>
            <w:tcW w:w="455" w:type="pct"/>
            <w:tcBorders>
              <w:top w:val="single" w:sz="4" w:space="0" w:color="C0C0C0"/>
              <w:left w:val="single" w:sz="4" w:space="0" w:color="C0C0C0"/>
              <w:bottom w:val="single" w:sz="4" w:space="0" w:color="C0C0C0"/>
              <w:right w:val="single" w:sz="4" w:space="0" w:color="C0C0C0"/>
            </w:tcBorders>
            <w:shd w:val="clear" w:color="000000" w:fill="FEE482"/>
            <w:noWrap/>
            <w:vAlign w:val="bottom"/>
            <w:hideMark/>
          </w:tcPr>
          <w:p w14:paraId="1E41CCAD"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-790</w:t>
            </w:r>
          </w:p>
        </w:tc>
        <w:tc>
          <w:tcPr>
            <w:tcW w:w="454" w:type="pct"/>
            <w:tcBorders>
              <w:top w:val="single" w:sz="4" w:space="0" w:color="C0C0C0"/>
              <w:left w:val="single" w:sz="4" w:space="0" w:color="C0C0C0"/>
              <w:bottom w:val="single" w:sz="4" w:space="0" w:color="C0C0C0"/>
              <w:right w:val="single" w:sz="4" w:space="0" w:color="C0C0C0"/>
            </w:tcBorders>
            <w:shd w:val="clear" w:color="000000" w:fill="FAEA84"/>
            <w:noWrap/>
            <w:vAlign w:val="bottom"/>
            <w:hideMark/>
          </w:tcPr>
          <w:p w14:paraId="5D55B8A7"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930</w:t>
            </w:r>
          </w:p>
        </w:tc>
        <w:tc>
          <w:tcPr>
            <w:tcW w:w="454" w:type="pct"/>
            <w:tcBorders>
              <w:top w:val="single" w:sz="4" w:space="0" w:color="C0C0C0"/>
              <w:left w:val="single" w:sz="4" w:space="0" w:color="C0C0C0"/>
              <w:bottom w:val="single" w:sz="4" w:space="0" w:color="C0C0C0"/>
              <w:right w:val="single" w:sz="4" w:space="0" w:color="C0C0C0"/>
            </w:tcBorders>
            <w:shd w:val="clear" w:color="000000" w:fill="FDEB84"/>
            <w:noWrap/>
            <w:vAlign w:val="bottom"/>
            <w:hideMark/>
          </w:tcPr>
          <w:p w14:paraId="3C99BFAA"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570</w:t>
            </w:r>
          </w:p>
        </w:tc>
        <w:tc>
          <w:tcPr>
            <w:tcW w:w="455" w:type="pct"/>
            <w:tcBorders>
              <w:top w:val="single" w:sz="4" w:space="0" w:color="C0C0C0"/>
              <w:left w:val="single" w:sz="4" w:space="0" w:color="C0C0C0"/>
              <w:bottom w:val="single" w:sz="4" w:space="0" w:color="C0C0C0"/>
              <w:right w:val="single" w:sz="4" w:space="0" w:color="C0C0C0"/>
            </w:tcBorders>
            <w:shd w:val="clear" w:color="000000" w:fill="FFEB84"/>
            <w:noWrap/>
            <w:vAlign w:val="bottom"/>
            <w:hideMark/>
          </w:tcPr>
          <w:p w14:paraId="715AA895"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340</w:t>
            </w:r>
          </w:p>
        </w:tc>
        <w:tc>
          <w:tcPr>
            <w:tcW w:w="454"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3E025570"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180</w:t>
            </w:r>
          </w:p>
        </w:tc>
        <w:tc>
          <w:tcPr>
            <w:tcW w:w="454" w:type="pct"/>
            <w:tcBorders>
              <w:top w:val="single" w:sz="4" w:space="0" w:color="C0C0C0"/>
              <w:left w:val="single" w:sz="4" w:space="0" w:color="C0C0C0"/>
              <w:bottom w:val="single" w:sz="4" w:space="0" w:color="C0C0C0"/>
              <w:right w:val="single" w:sz="4" w:space="0" w:color="C0C0C0"/>
            </w:tcBorders>
            <w:shd w:val="clear" w:color="000000" w:fill="FFEB84"/>
            <w:noWrap/>
            <w:vAlign w:val="bottom"/>
            <w:hideMark/>
          </w:tcPr>
          <w:p w14:paraId="7A948685"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340</w:t>
            </w:r>
          </w:p>
        </w:tc>
        <w:tc>
          <w:tcPr>
            <w:tcW w:w="455" w:type="pct"/>
            <w:tcBorders>
              <w:top w:val="single" w:sz="4" w:space="0" w:color="C0C0C0"/>
              <w:left w:val="single" w:sz="4" w:space="0" w:color="C0C0C0"/>
              <w:bottom w:val="single" w:sz="4" w:space="0" w:color="C0C0C0"/>
              <w:right w:val="single" w:sz="4" w:space="0" w:color="C0C0C0"/>
            </w:tcBorders>
            <w:shd w:val="clear" w:color="000000" w:fill="FFEB84"/>
            <w:noWrap/>
            <w:vAlign w:val="bottom"/>
            <w:hideMark/>
          </w:tcPr>
          <w:p w14:paraId="2EF99E8B"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250</w:t>
            </w:r>
          </w:p>
        </w:tc>
        <w:tc>
          <w:tcPr>
            <w:tcW w:w="454" w:type="pct"/>
            <w:tcBorders>
              <w:top w:val="single" w:sz="4" w:space="0" w:color="C0C0C0"/>
              <w:left w:val="single" w:sz="4" w:space="0" w:color="C0C0C0"/>
              <w:bottom w:val="single" w:sz="4" w:space="0" w:color="C0C0C0"/>
              <w:right w:val="single" w:sz="4" w:space="0" w:color="C0C0C0"/>
            </w:tcBorders>
            <w:shd w:val="clear" w:color="000000" w:fill="FCEA84"/>
            <w:noWrap/>
            <w:vAlign w:val="bottom"/>
            <w:hideMark/>
          </w:tcPr>
          <w:p w14:paraId="394408A6"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710</w:t>
            </w:r>
          </w:p>
        </w:tc>
        <w:tc>
          <w:tcPr>
            <w:tcW w:w="455" w:type="pct"/>
            <w:tcBorders>
              <w:top w:val="single" w:sz="4" w:space="0" w:color="C0C0C0"/>
              <w:left w:val="single" w:sz="4" w:space="0" w:color="C0C0C0"/>
              <w:bottom w:val="single" w:sz="4" w:space="0" w:color="C0C0C0"/>
              <w:right w:val="single" w:sz="4" w:space="0" w:color="C0C0C0"/>
            </w:tcBorders>
            <w:shd w:val="clear" w:color="000000" w:fill="FEE482"/>
            <w:noWrap/>
            <w:vAlign w:val="bottom"/>
            <w:hideMark/>
          </w:tcPr>
          <w:p w14:paraId="020C8D18"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-860</w:t>
            </w:r>
          </w:p>
        </w:tc>
      </w:tr>
      <w:tr w:rsidR="00F63900" w:rsidRPr="00B90332" w14:paraId="1A82E7EF" w14:textId="77777777" w:rsidTr="00F63900">
        <w:trPr>
          <w:trHeight w:val="383"/>
        </w:trPr>
        <w:tc>
          <w:tcPr>
            <w:tcW w:w="454" w:type="pct"/>
            <w:tcBorders>
              <w:top w:val="nil"/>
              <w:left w:val="nil"/>
              <w:bottom w:val="single" w:sz="4" w:space="0" w:color="C0C0C0"/>
              <w:right w:val="single" w:sz="4" w:space="0" w:color="C0C0C0"/>
            </w:tcBorders>
            <w:shd w:val="clear" w:color="000000" w:fill="D7F7F6"/>
            <w:hideMark/>
          </w:tcPr>
          <w:p w14:paraId="6CC5F1A6" w14:textId="77777777" w:rsidR="00B90332" w:rsidRPr="00F63900" w:rsidRDefault="00B90332" w:rsidP="008F03DF">
            <w:pPr>
              <w:spacing w:before="120" w:after="120" w:line="240" w:lineRule="atLeast"/>
              <w:rPr>
                <w:rFonts w:ascii="Arial" w:eastAsia="Times New Roman" w:hAnsi="Arial" w:cs="Arial"/>
                <w:lang w:eastAsia="en-NZ"/>
              </w:rPr>
            </w:pPr>
            <w:r w:rsidRPr="00F63900">
              <w:rPr>
                <w:rFonts w:ascii="Arial" w:eastAsia="Times New Roman" w:hAnsi="Arial" w:cs="Arial"/>
                <w:lang w:eastAsia="en-NZ"/>
              </w:rPr>
              <w:t>Taranaki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AEA84"/>
            <w:noWrap/>
            <w:vAlign w:val="bottom"/>
            <w:hideMark/>
          </w:tcPr>
          <w:p w14:paraId="00D45C5A"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990</w:t>
            </w:r>
          </w:p>
        </w:tc>
        <w:tc>
          <w:tcPr>
            <w:tcW w:w="455" w:type="pct"/>
            <w:tcBorders>
              <w:top w:val="single" w:sz="4" w:space="0" w:color="C0C0C0"/>
              <w:left w:val="single" w:sz="4" w:space="0" w:color="C0C0C0"/>
              <w:bottom w:val="single" w:sz="4" w:space="0" w:color="C0C0C0"/>
              <w:right w:val="single" w:sz="4" w:space="0" w:color="C0C0C0"/>
            </w:tcBorders>
            <w:shd w:val="clear" w:color="000000" w:fill="FEE783"/>
            <w:noWrap/>
            <w:vAlign w:val="bottom"/>
            <w:hideMark/>
          </w:tcPr>
          <w:p w14:paraId="6DE7A3A9"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-300</w:t>
            </w:r>
          </w:p>
        </w:tc>
        <w:tc>
          <w:tcPr>
            <w:tcW w:w="454" w:type="pct"/>
            <w:tcBorders>
              <w:top w:val="single" w:sz="4" w:space="0" w:color="C0C0C0"/>
              <w:left w:val="single" w:sz="4" w:space="0" w:color="C0C0C0"/>
              <w:bottom w:val="single" w:sz="4" w:space="0" w:color="C0C0C0"/>
              <w:right w:val="single" w:sz="4" w:space="0" w:color="C0C0C0"/>
            </w:tcBorders>
            <w:shd w:val="clear" w:color="000000" w:fill="FDEB84"/>
            <w:noWrap/>
            <w:vAlign w:val="bottom"/>
            <w:hideMark/>
          </w:tcPr>
          <w:p w14:paraId="6A7E88B9"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600</w:t>
            </w:r>
          </w:p>
        </w:tc>
        <w:tc>
          <w:tcPr>
            <w:tcW w:w="454" w:type="pct"/>
            <w:tcBorders>
              <w:top w:val="single" w:sz="4" w:space="0" w:color="C0C0C0"/>
              <w:left w:val="single" w:sz="4" w:space="0" w:color="C0C0C0"/>
              <w:bottom w:val="single" w:sz="4" w:space="0" w:color="C0C0C0"/>
              <w:right w:val="single" w:sz="4" w:space="0" w:color="C0C0C0"/>
            </w:tcBorders>
            <w:shd w:val="clear" w:color="000000" w:fill="FEEB84"/>
            <w:noWrap/>
            <w:vAlign w:val="bottom"/>
            <w:hideMark/>
          </w:tcPr>
          <w:p w14:paraId="13501007"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460</w:t>
            </w:r>
          </w:p>
        </w:tc>
        <w:tc>
          <w:tcPr>
            <w:tcW w:w="455" w:type="pct"/>
            <w:tcBorders>
              <w:top w:val="single" w:sz="4" w:space="0" w:color="C0C0C0"/>
              <w:left w:val="single" w:sz="4" w:space="0" w:color="C0C0C0"/>
              <w:bottom w:val="single" w:sz="4" w:space="0" w:color="C0C0C0"/>
              <w:right w:val="single" w:sz="4" w:space="0" w:color="C0C0C0"/>
            </w:tcBorders>
            <w:shd w:val="clear" w:color="000000" w:fill="FFEB84"/>
            <w:noWrap/>
            <w:vAlign w:val="bottom"/>
            <w:hideMark/>
          </w:tcPr>
          <w:p w14:paraId="0183A8D3"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240</w:t>
            </w:r>
          </w:p>
        </w:tc>
        <w:tc>
          <w:tcPr>
            <w:tcW w:w="454"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32F056AF"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80</w:t>
            </w:r>
          </w:p>
        </w:tc>
        <w:tc>
          <w:tcPr>
            <w:tcW w:w="454"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493A3B9C"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130</w:t>
            </w:r>
          </w:p>
        </w:tc>
        <w:tc>
          <w:tcPr>
            <w:tcW w:w="455"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5A0DB250"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70</w:t>
            </w:r>
          </w:p>
        </w:tc>
        <w:tc>
          <w:tcPr>
            <w:tcW w:w="454" w:type="pct"/>
            <w:tcBorders>
              <w:top w:val="single" w:sz="4" w:space="0" w:color="C0C0C0"/>
              <w:left w:val="single" w:sz="4" w:space="0" w:color="C0C0C0"/>
              <w:bottom w:val="single" w:sz="4" w:space="0" w:color="C0C0C0"/>
              <w:right w:val="single" w:sz="4" w:space="0" w:color="C0C0C0"/>
            </w:tcBorders>
            <w:shd w:val="clear" w:color="000000" w:fill="F9EA84"/>
            <w:noWrap/>
            <w:vAlign w:val="bottom"/>
            <w:hideMark/>
          </w:tcPr>
          <w:p w14:paraId="5A7E991A"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1010</w:t>
            </w:r>
          </w:p>
        </w:tc>
        <w:tc>
          <w:tcPr>
            <w:tcW w:w="455" w:type="pct"/>
            <w:tcBorders>
              <w:top w:val="single" w:sz="4" w:space="0" w:color="C0C0C0"/>
              <w:left w:val="single" w:sz="4" w:space="0" w:color="C0C0C0"/>
              <w:bottom w:val="single" w:sz="4" w:space="0" w:color="C0C0C0"/>
              <w:right w:val="single" w:sz="4" w:space="0" w:color="C0C0C0"/>
            </w:tcBorders>
            <w:shd w:val="clear" w:color="000000" w:fill="FEE883"/>
            <w:noWrap/>
            <w:vAlign w:val="bottom"/>
            <w:hideMark/>
          </w:tcPr>
          <w:p w14:paraId="45C465D1"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-250</w:t>
            </w:r>
          </w:p>
        </w:tc>
      </w:tr>
      <w:tr w:rsidR="00F63900" w:rsidRPr="00B90332" w14:paraId="3186D526" w14:textId="77777777" w:rsidTr="00F63900">
        <w:trPr>
          <w:trHeight w:val="575"/>
        </w:trPr>
        <w:tc>
          <w:tcPr>
            <w:tcW w:w="454" w:type="pct"/>
            <w:tcBorders>
              <w:top w:val="nil"/>
              <w:left w:val="nil"/>
              <w:bottom w:val="single" w:sz="4" w:space="0" w:color="C0C0C0"/>
              <w:right w:val="single" w:sz="4" w:space="0" w:color="C0C0C0"/>
            </w:tcBorders>
            <w:shd w:val="clear" w:color="000000" w:fill="D7F7F6"/>
            <w:hideMark/>
          </w:tcPr>
          <w:p w14:paraId="2B08699B" w14:textId="77777777" w:rsidR="00B90332" w:rsidRPr="00F63900" w:rsidRDefault="00B90332" w:rsidP="008F03DF">
            <w:pPr>
              <w:spacing w:before="120" w:after="120" w:line="240" w:lineRule="atLeast"/>
              <w:rPr>
                <w:rFonts w:ascii="Arial" w:eastAsia="Times New Roman" w:hAnsi="Arial" w:cs="Arial"/>
                <w:lang w:eastAsia="en-NZ"/>
              </w:rPr>
            </w:pPr>
            <w:r w:rsidRPr="00F63900">
              <w:rPr>
                <w:rFonts w:ascii="Arial" w:eastAsia="Times New Roman" w:hAnsi="Arial" w:cs="Arial"/>
                <w:lang w:eastAsia="en-NZ"/>
              </w:rPr>
              <w:t>Manawatu-Wanganui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EEB84"/>
            <w:noWrap/>
            <w:vAlign w:val="bottom"/>
            <w:hideMark/>
          </w:tcPr>
          <w:p w14:paraId="7CC83878"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390</w:t>
            </w:r>
          </w:p>
        </w:tc>
        <w:tc>
          <w:tcPr>
            <w:tcW w:w="455" w:type="pct"/>
            <w:tcBorders>
              <w:top w:val="single" w:sz="4" w:space="0" w:color="C0C0C0"/>
              <w:left w:val="single" w:sz="4" w:space="0" w:color="C0C0C0"/>
              <w:bottom w:val="single" w:sz="4" w:space="0" w:color="C0C0C0"/>
              <w:right w:val="single" w:sz="4" w:space="0" w:color="C0C0C0"/>
            </w:tcBorders>
            <w:shd w:val="clear" w:color="000000" w:fill="FEDF81"/>
            <w:noWrap/>
            <w:vAlign w:val="bottom"/>
            <w:hideMark/>
          </w:tcPr>
          <w:p w14:paraId="282B59A4"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-1700</w:t>
            </w:r>
          </w:p>
        </w:tc>
        <w:tc>
          <w:tcPr>
            <w:tcW w:w="454" w:type="pct"/>
            <w:tcBorders>
              <w:top w:val="single" w:sz="4" w:space="0" w:color="C0C0C0"/>
              <w:left w:val="single" w:sz="4" w:space="0" w:color="C0C0C0"/>
              <w:bottom w:val="single" w:sz="4" w:space="0" w:color="C0C0C0"/>
              <w:right w:val="single" w:sz="4" w:space="0" w:color="C0C0C0"/>
            </w:tcBorders>
            <w:shd w:val="clear" w:color="000000" w:fill="F8E984"/>
            <w:noWrap/>
            <w:vAlign w:val="bottom"/>
            <w:hideMark/>
          </w:tcPr>
          <w:p w14:paraId="221AC0C5"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1170</w:t>
            </w:r>
          </w:p>
        </w:tc>
        <w:tc>
          <w:tcPr>
            <w:tcW w:w="454" w:type="pct"/>
            <w:tcBorders>
              <w:top w:val="single" w:sz="4" w:space="0" w:color="C0C0C0"/>
              <w:left w:val="single" w:sz="4" w:space="0" w:color="C0C0C0"/>
              <w:bottom w:val="single" w:sz="4" w:space="0" w:color="C0C0C0"/>
              <w:right w:val="single" w:sz="4" w:space="0" w:color="C0C0C0"/>
            </w:tcBorders>
            <w:shd w:val="clear" w:color="000000" w:fill="FDEB84"/>
            <w:noWrap/>
            <w:vAlign w:val="bottom"/>
            <w:hideMark/>
          </w:tcPr>
          <w:p w14:paraId="77621763"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550</w:t>
            </w:r>
          </w:p>
        </w:tc>
        <w:tc>
          <w:tcPr>
            <w:tcW w:w="455" w:type="pct"/>
            <w:tcBorders>
              <w:top w:val="single" w:sz="4" w:space="0" w:color="C0C0C0"/>
              <w:left w:val="single" w:sz="4" w:space="0" w:color="C0C0C0"/>
              <w:bottom w:val="single" w:sz="4" w:space="0" w:color="C0C0C0"/>
              <w:right w:val="single" w:sz="4" w:space="0" w:color="C0C0C0"/>
            </w:tcBorders>
            <w:shd w:val="clear" w:color="000000" w:fill="FEEB84"/>
            <w:noWrap/>
            <w:vAlign w:val="bottom"/>
            <w:hideMark/>
          </w:tcPr>
          <w:p w14:paraId="0928184B"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420</w:t>
            </w:r>
          </w:p>
        </w:tc>
        <w:tc>
          <w:tcPr>
            <w:tcW w:w="454"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6238BB4D"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190</w:t>
            </w:r>
          </w:p>
        </w:tc>
        <w:tc>
          <w:tcPr>
            <w:tcW w:w="454" w:type="pct"/>
            <w:tcBorders>
              <w:top w:val="single" w:sz="4" w:space="0" w:color="C0C0C0"/>
              <w:left w:val="single" w:sz="4" w:space="0" w:color="C0C0C0"/>
              <w:bottom w:val="single" w:sz="4" w:space="0" w:color="C0C0C0"/>
              <w:right w:val="single" w:sz="4" w:space="0" w:color="C0C0C0"/>
            </w:tcBorders>
            <w:shd w:val="clear" w:color="000000" w:fill="FDEB84"/>
            <w:noWrap/>
            <w:vAlign w:val="bottom"/>
            <w:hideMark/>
          </w:tcPr>
          <w:p w14:paraId="357672CF"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530</w:t>
            </w:r>
          </w:p>
        </w:tc>
        <w:tc>
          <w:tcPr>
            <w:tcW w:w="455" w:type="pct"/>
            <w:tcBorders>
              <w:top w:val="single" w:sz="4" w:space="0" w:color="C0C0C0"/>
              <w:left w:val="single" w:sz="4" w:space="0" w:color="C0C0C0"/>
              <w:bottom w:val="single" w:sz="4" w:space="0" w:color="C0C0C0"/>
              <w:right w:val="single" w:sz="4" w:space="0" w:color="C0C0C0"/>
            </w:tcBorders>
            <w:shd w:val="clear" w:color="000000" w:fill="FFEB84"/>
            <w:noWrap/>
            <w:vAlign w:val="bottom"/>
            <w:hideMark/>
          </w:tcPr>
          <w:p w14:paraId="1C1F3004"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260</w:t>
            </w:r>
          </w:p>
        </w:tc>
        <w:tc>
          <w:tcPr>
            <w:tcW w:w="454" w:type="pct"/>
            <w:tcBorders>
              <w:top w:val="single" w:sz="4" w:space="0" w:color="C0C0C0"/>
              <w:left w:val="single" w:sz="4" w:space="0" w:color="C0C0C0"/>
              <w:bottom w:val="single" w:sz="4" w:space="0" w:color="C0C0C0"/>
              <w:right w:val="single" w:sz="4" w:space="0" w:color="C0C0C0"/>
            </w:tcBorders>
            <w:shd w:val="clear" w:color="000000" w:fill="FCEA84"/>
            <w:noWrap/>
            <w:vAlign w:val="bottom"/>
            <w:hideMark/>
          </w:tcPr>
          <w:p w14:paraId="7381C17F"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700</w:t>
            </w:r>
          </w:p>
        </w:tc>
        <w:tc>
          <w:tcPr>
            <w:tcW w:w="455" w:type="pct"/>
            <w:tcBorders>
              <w:top w:val="single" w:sz="4" w:space="0" w:color="C0C0C0"/>
              <w:left w:val="single" w:sz="4" w:space="0" w:color="C0C0C0"/>
              <w:bottom w:val="single" w:sz="4" w:space="0" w:color="C0C0C0"/>
              <w:right w:val="single" w:sz="4" w:space="0" w:color="C0C0C0"/>
            </w:tcBorders>
            <w:shd w:val="clear" w:color="000000" w:fill="FEDC81"/>
            <w:noWrap/>
            <w:vAlign w:val="bottom"/>
            <w:hideMark/>
          </w:tcPr>
          <w:p w14:paraId="53E9203E"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-2060</w:t>
            </w:r>
          </w:p>
        </w:tc>
      </w:tr>
      <w:tr w:rsidR="00F63900" w:rsidRPr="00B90332" w14:paraId="5C0243DA" w14:textId="77777777" w:rsidTr="00F63900">
        <w:trPr>
          <w:trHeight w:val="383"/>
        </w:trPr>
        <w:tc>
          <w:tcPr>
            <w:tcW w:w="454" w:type="pct"/>
            <w:tcBorders>
              <w:top w:val="nil"/>
              <w:left w:val="nil"/>
              <w:bottom w:val="single" w:sz="4" w:space="0" w:color="C0C0C0"/>
              <w:right w:val="single" w:sz="4" w:space="0" w:color="C0C0C0"/>
            </w:tcBorders>
            <w:shd w:val="clear" w:color="000000" w:fill="D7F7F6"/>
            <w:hideMark/>
          </w:tcPr>
          <w:p w14:paraId="1CABD87E" w14:textId="77777777" w:rsidR="00B90332" w:rsidRPr="00F63900" w:rsidRDefault="00B90332" w:rsidP="008F03DF">
            <w:pPr>
              <w:spacing w:before="120" w:after="120" w:line="240" w:lineRule="atLeast"/>
              <w:rPr>
                <w:rFonts w:ascii="Arial" w:eastAsia="Times New Roman" w:hAnsi="Arial" w:cs="Arial"/>
                <w:lang w:eastAsia="en-NZ"/>
              </w:rPr>
            </w:pPr>
            <w:r w:rsidRPr="00F63900">
              <w:rPr>
                <w:rFonts w:ascii="Arial" w:eastAsia="Times New Roman" w:hAnsi="Arial" w:cs="Arial"/>
                <w:lang w:eastAsia="en-NZ"/>
              </w:rPr>
              <w:t>Wellington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079D0A68"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230</w:t>
            </w:r>
          </w:p>
        </w:tc>
        <w:tc>
          <w:tcPr>
            <w:tcW w:w="455" w:type="pct"/>
            <w:tcBorders>
              <w:top w:val="single" w:sz="4" w:space="0" w:color="C0C0C0"/>
              <w:left w:val="single" w:sz="4" w:space="0" w:color="C0C0C0"/>
              <w:bottom w:val="single" w:sz="4" w:space="0" w:color="C0C0C0"/>
              <w:right w:val="single" w:sz="4" w:space="0" w:color="C0C0C0"/>
            </w:tcBorders>
            <w:shd w:val="clear" w:color="000000" w:fill="FEE082"/>
            <w:noWrap/>
            <w:vAlign w:val="bottom"/>
            <w:hideMark/>
          </w:tcPr>
          <w:p w14:paraId="2EA4E6D6"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-1420</w:t>
            </w:r>
          </w:p>
        </w:tc>
        <w:tc>
          <w:tcPr>
            <w:tcW w:w="454" w:type="pct"/>
            <w:tcBorders>
              <w:top w:val="single" w:sz="4" w:space="0" w:color="C0C0C0"/>
              <w:left w:val="single" w:sz="4" w:space="0" w:color="C0C0C0"/>
              <w:bottom w:val="single" w:sz="4" w:space="0" w:color="C0C0C0"/>
              <w:right w:val="single" w:sz="4" w:space="0" w:color="C0C0C0"/>
            </w:tcBorders>
            <w:shd w:val="clear" w:color="000000" w:fill="F4E884"/>
            <w:noWrap/>
            <w:vAlign w:val="bottom"/>
            <w:hideMark/>
          </w:tcPr>
          <w:p w14:paraId="07387C48"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1690</w:t>
            </w:r>
          </w:p>
        </w:tc>
        <w:tc>
          <w:tcPr>
            <w:tcW w:w="454" w:type="pct"/>
            <w:tcBorders>
              <w:top w:val="single" w:sz="4" w:space="0" w:color="C0C0C0"/>
              <w:left w:val="single" w:sz="4" w:space="0" w:color="C0C0C0"/>
              <w:bottom w:val="single" w:sz="4" w:space="0" w:color="C0C0C0"/>
              <w:right w:val="single" w:sz="4" w:space="0" w:color="C0C0C0"/>
            </w:tcBorders>
            <w:shd w:val="clear" w:color="000000" w:fill="FBEA84"/>
            <w:noWrap/>
            <w:vAlign w:val="bottom"/>
            <w:hideMark/>
          </w:tcPr>
          <w:p w14:paraId="1D049626"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780</w:t>
            </w:r>
          </w:p>
        </w:tc>
        <w:tc>
          <w:tcPr>
            <w:tcW w:w="455" w:type="pct"/>
            <w:tcBorders>
              <w:top w:val="single" w:sz="4" w:space="0" w:color="C0C0C0"/>
              <w:left w:val="single" w:sz="4" w:space="0" w:color="C0C0C0"/>
              <w:bottom w:val="single" w:sz="4" w:space="0" w:color="C0C0C0"/>
              <w:right w:val="single" w:sz="4" w:space="0" w:color="C0C0C0"/>
            </w:tcBorders>
            <w:shd w:val="clear" w:color="000000" w:fill="F6E984"/>
            <w:noWrap/>
            <w:vAlign w:val="bottom"/>
            <w:hideMark/>
          </w:tcPr>
          <w:p w14:paraId="5400E7ED"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1380</w:t>
            </w:r>
          </w:p>
        </w:tc>
        <w:tc>
          <w:tcPr>
            <w:tcW w:w="454" w:type="pct"/>
            <w:tcBorders>
              <w:top w:val="single" w:sz="4" w:space="0" w:color="C0C0C0"/>
              <w:left w:val="single" w:sz="4" w:space="0" w:color="C0C0C0"/>
              <w:bottom w:val="single" w:sz="4" w:space="0" w:color="C0C0C0"/>
              <w:right w:val="single" w:sz="4" w:space="0" w:color="C0C0C0"/>
            </w:tcBorders>
            <w:shd w:val="clear" w:color="000000" w:fill="FEE883"/>
            <w:noWrap/>
            <w:vAlign w:val="bottom"/>
            <w:hideMark/>
          </w:tcPr>
          <w:p w14:paraId="41CE4ACF"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-110</w:t>
            </w:r>
          </w:p>
        </w:tc>
        <w:tc>
          <w:tcPr>
            <w:tcW w:w="454" w:type="pct"/>
            <w:tcBorders>
              <w:top w:val="single" w:sz="4" w:space="0" w:color="C0C0C0"/>
              <w:left w:val="single" w:sz="4" w:space="0" w:color="C0C0C0"/>
              <w:bottom w:val="single" w:sz="4" w:space="0" w:color="C0C0C0"/>
              <w:right w:val="single" w:sz="4" w:space="0" w:color="C0C0C0"/>
            </w:tcBorders>
            <w:shd w:val="clear" w:color="000000" w:fill="FAEA84"/>
            <w:noWrap/>
            <w:vAlign w:val="bottom"/>
            <w:hideMark/>
          </w:tcPr>
          <w:p w14:paraId="2218CDA1"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970</w:t>
            </w:r>
          </w:p>
        </w:tc>
        <w:tc>
          <w:tcPr>
            <w:tcW w:w="455" w:type="pct"/>
            <w:tcBorders>
              <w:top w:val="single" w:sz="4" w:space="0" w:color="C0C0C0"/>
              <w:left w:val="single" w:sz="4" w:space="0" w:color="C0C0C0"/>
              <w:bottom w:val="single" w:sz="4" w:space="0" w:color="C0C0C0"/>
              <w:right w:val="single" w:sz="4" w:space="0" w:color="C0C0C0"/>
            </w:tcBorders>
            <w:shd w:val="clear" w:color="000000" w:fill="FFEB84"/>
            <w:noWrap/>
            <w:vAlign w:val="bottom"/>
            <w:hideMark/>
          </w:tcPr>
          <w:p w14:paraId="2C955894"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310</w:t>
            </w:r>
          </w:p>
        </w:tc>
        <w:tc>
          <w:tcPr>
            <w:tcW w:w="454" w:type="pct"/>
            <w:tcBorders>
              <w:top w:val="single" w:sz="4" w:space="0" w:color="C0C0C0"/>
              <w:left w:val="single" w:sz="4" w:space="0" w:color="C0C0C0"/>
              <w:bottom w:val="single" w:sz="4" w:space="0" w:color="C0C0C0"/>
              <w:right w:val="single" w:sz="4" w:space="0" w:color="C0C0C0"/>
            </w:tcBorders>
            <w:shd w:val="clear" w:color="000000" w:fill="F7E984"/>
            <w:noWrap/>
            <w:vAlign w:val="bottom"/>
            <w:hideMark/>
          </w:tcPr>
          <w:p w14:paraId="7873FD5B"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1310</w:t>
            </w:r>
          </w:p>
        </w:tc>
        <w:tc>
          <w:tcPr>
            <w:tcW w:w="455" w:type="pct"/>
            <w:tcBorders>
              <w:top w:val="single" w:sz="4" w:space="0" w:color="C0C0C0"/>
              <w:left w:val="single" w:sz="4" w:space="0" w:color="C0C0C0"/>
              <w:bottom w:val="single" w:sz="4" w:space="0" w:color="C0C0C0"/>
              <w:right w:val="single" w:sz="4" w:space="0" w:color="C0C0C0"/>
            </w:tcBorders>
            <w:shd w:val="clear" w:color="000000" w:fill="FDD780"/>
            <w:noWrap/>
            <w:vAlign w:val="bottom"/>
            <w:hideMark/>
          </w:tcPr>
          <w:p w14:paraId="14CB72DD"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-2950</w:t>
            </w:r>
          </w:p>
        </w:tc>
      </w:tr>
      <w:tr w:rsidR="00F63900" w:rsidRPr="00B90332" w14:paraId="146E3C54" w14:textId="77777777" w:rsidTr="00F63900">
        <w:trPr>
          <w:trHeight w:val="383"/>
        </w:trPr>
        <w:tc>
          <w:tcPr>
            <w:tcW w:w="454" w:type="pct"/>
            <w:tcBorders>
              <w:top w:val="nil"/>
              <w:left w:val="nil"/>
              <w:bottom w:val="single" w:sz="4" w:space="0" w:color="C0C0C0"/>
              <w:right w:val="single" w:sz="4" w:space="0" w:color="C0C0C0"/>
            </w:tcBorders>
            <w:shd w:val="clear" w:color="000000" w:fill="D7F7F6"/>
            <w:hideMark/>
          </w:tcPr>
          <w:p w14:paraId="5DF1EB8B" w14:textId="77777777" w:rsidR="00B90332" w:rsidRPr="00F63900" w:rsidRDefault="00B90332" w:rsidP="008F03DF">
            <w:pPr>
              <w:spacing w:before="120" w:after="120" w:line="240" w:lineRule="atLeast"/>
              <w:rPr>
                <w:rFonts w:ascii="Arial" w:eastAsia="Times New Roman" w:hAnsi="Arial" w:cs="Arial"/>
                <w:lang w:eastAsia="en-NZ"/>
              </w:rPr>
            </w:pPr>
            <w:r w:rsidRPr="00F63900">
              <w:rPr>
                <w:rFonts w:ascii="Arial" w:eastAsia="Times New Roman" w:hAnsi="Arial" w:cs="Arial"/>
                <w:lang w:eastAsia="en-NZ"/>
              </w:rPr>
              <w:t>Tasman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24E61C2C"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30</w:t>
            </w:r>
          </w:p>
        </w:tc>
        <w:tc>
          <w:tcPr>
            <w:tcW w:w="455"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2AD3944F"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10</w:t>
            </w:r>
          </w:p>
        </w:tc>
        <w:tc>
          <w:tcPr>
            <w:tcW w:w="454"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11ED69C0"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0</w:t>
            </w:r>
          </w:p>
        </w:tc>
        <w:tc>
          <w:tcPr>
            <w:tcW w:w="454"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5BFEB66D"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70</w:t>
            </w:r>
          </w:p>
        </w:tc>
        <w:tc>
          <w:tcPr>
            <w:tcW w:w="455"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55A95EF8"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60</w:t>
            </w:r>
          </w:p>
        </w:tc>
        <w:tc>
          <w:tcPr>
            <w:tcW w:w="454"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5DAD3518"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45</w:t>
            </w:r>
          </w:p>
        </w:tc>
        <w:tc>
          <w:tcPr>
            <w:tcW w:w="454"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58DAD43A"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35</w:t>
            </w:r>
          </w:p>
        </w:tc>
        <w:tc>
          <w:tcPr>
            <w:tcW w:w="455"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5E0C8E3C"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35</w:t>
            </w:r>
          </w:p>
        </w:tc>
        <w:tc>
          <w:tcPr>
            <w:tcW w:w="454"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22B9737B"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-10</w:t>
            </w:r>
          </w:p>
        </w:tc>
        <w:tc>
          <w:tcPr>
            <w:tcW w:w="455"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3F900DCD"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40</w:t>
            </w:r>
          </w:p>
        </w:tc>
      </w:tr>
      <w:tr w:rsidR="00F63900" w:rsidRPr="00B90332" w14:paraId="53DD878D" w14:textId="77777777" w:rsidTr="00F63900">
        <w:trPr>
          <w:trHeight w:val="383"/>
        </w:trPr>
        <w:tc>
          <w:tcPr>
            <w:tcW w:w="454" w:type="pct"/>
            <w:tcBorders>
              <w:top w:val="nil"/>
              <w:left w:val="nil"/>
              <w:bottom w:val="single" w:sz="4" w:space="0" w:color="C0C0C0"/>
              <w:right w:val="single" w:sz="4" w:space="0" w:color="C0C0C0"/>
            </w:tcBorders>
            <w:shd w:val="clear" w:color="000000" w:fill="D7F7F6"/>
            <w:hideMark/>
          </w:tcPr>
          <w:p w14:paraId="640D2799" w14:textId="77777777" w:rsidR="00B90332" w:rsidRPr="00F63900" w:rsidRDefault="00B90332" w:rsidP="008F03DF">
            <w:pPr>
              <w:spacing w:before="120" w:after="120" w:line="240" w:lineRule="atLeast"/>
              <w:rPr>
                <w:rFonts w:ascii="Arial" w:eastAsia="Times New Roman" w:hAnsi="Arial" w:cs="Arial"/>
                <w:lang w:eastAsia="en-NZ"/>
              </w:rPr>
            </w:pPr>
            <w:r w:rsidRPr="00F63900">
              <w:rPr>
                <w:rFonts w:ascii="Arial" w:eastAsia="Times New Roman" w:hAnsi="Arial" w:cs="Arial"/>
                <w:lang w:eastAsia="en-NZ"/>
              </w:rPr>
              <w:t>Nelson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FEB84"/>
            <w:noWrap/>
            <w:vAlign w:val="bottom"/>
            <w:hideMark/>
          </w:tcPr>
          <w:p w14:paraId="67B5048D"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310</w:t>
            </w:r>
          </w:p>
        </w:tc>
        <w:tc>
          <w:tcPr>
            <w:tcW w:w="455"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267C8B9C"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130</w:t>
            </w:r>
          </w:p>
        </w:tc>
        <w:tc>
          <w:tcPr>
            <w:tcW w:w="454"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1304B937"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120</w:t>
            </w:r>
          </w:p>
        </w:tc>
        <w:tc>
          <w:tcPr>
            <w:tcW w:w="454"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374228C8"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120</w:t>
            </w:r>
          </w:p>
        </w:tc>
        <w:tc>
          <w:tcPr>
            <w:tcW w:w="455"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0023442C"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120</w:t>
            </w:r>
          </w:p>
        </w:tc>
        <w:tc>
          <w:tcPr>
            <w:tcW w:w="454"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63FAF259"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90</w:t>
            </w:r>
          </w:p>
        </w:tc>
        <w:tc>
          <w:tcPr>
            <w:tcW w:w="454"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2D301A2D"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45</w:t>
            </w:r>
          </w:p>
        </w:tc>
        <w:tc>
          <w:tcPr>
            <w:tcW w:w="455"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2968EA0B"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30</w:t>
            </w:r>
          </w:p>
        </w:tc>
        <w:tc>
          <w:tcPr>
            <w:tcW w:w="454" w:type="pct"/>
            <w:tcBorders>
              <w:top w:val="single" w:sz="4" w:space="0" w:color="C0C0C0"/>
              <w:left w:val="single" w:sz="4" w:space="0" w:color="C0C0C0"/>
              <w:bottom w:val="single" w:sz="4" w:space="0" w:color="C0C0C0"/>
              <w:right w:val="single" w:sz="4" w:space="0" w:color="C0C0C0"/>
            </w:tcBorders>
            <w:shd w:val="clear" w:color="000000" w:fill="FFEB84"/>
            <w:noWrap/>
            <w:vAlign w:val="bottom"/>
            <w:hideMark/>
          </w:tcPr>
          <w:p w14:paraId="38E77C97"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340</w:t>
            </w:r>
          </w:p>
        </w:tc>
        <w:tc>
          <w:tcPr>
            <w:tcW w:w="455"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23A38978"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130</w:t>
            </w:r>
          </w:p>
        </w:tc>
      </w:tr>
      <w:tr w:rsidR="00F63900" w:rsidRPr="00B90332" w14:paraId="193780BB" w14:textId="77777777" w:rsidTr="00F63900">
        <w:trPr>
          <w:trHeight w:val="383"/>
        </w:trPr>
        <w:tc>
          <w:tcPr>
            <w:tcW w:w="454" w:type="pct"/>
            <w:tcBorders>
              <w:top w:val="nil"/>
              <w:left w:val="nil"/>
              <w:bottom w:val="single" w:sz="4" w:space="0" w:color="C0C0C0"/>
              <w:right w:val="single" w:sz="4" w:space="0" w:color="C0C0C0"/>
            </w:tcBorders>
            <w:shd w:val="clear" w:color="000000" w:fill="D7F7F6"/>
            <w:hideMark/>
          </w:tcPr>
          <w:p w14:paraId="74A60695" w14:textId="77777777" w:rsidR="00B90332" w:rsidRPr="00F63900" w:rsidRDefault="00B90332" w:rsidP="008F03DF">
            <w:pPr>
              <w:spacing w:before="120" w:after="120" w:line="240" w:lineRule="atLeast"/>
              <w:rPr>
                <w:rFonts w:ascii="Arial" w:eastAsia="Times New Roman" w:hAnsi="Arial" w:cs="Arial"/>
                <w:lang w:eastAsia="en-NZ"/>
              </w:rPr>
            </w:pPr>
            <w:r w:rsidRPr="00F63900">
              <w:rPr>
                <w:rFonts w:ascii="Arial" w:eastAsia="Times New Roman" w:hAnsi="Arial" w:cs="Arial"/>
                <w:lang w:eastAsia="en-NZ"/>
              </w:rPr>
              <w:t>Marlborough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FEB84"/>
            <w:noWrap/>
            <w:vAlign w:val="bottom"/>
            <w:hideMark/>
          </w:tcPr>
          <w:p w14:paraId="20578495"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330</w:t>
            </w:r>
          </w:p>
        </w:tc>
        <w:tc>
          <w:tcPr>
            <w:tcW w:w="455" w:type="pct"/>
            <w:tcBorders>
              <w:top w:val="single" w:sz="4" w:space="0" w:color="C0C0C0"/>
              <w:left w:val="single" w:sz="4" w:space="0" w:color="C0C0C0"/>
              <w:bottom w:val="single" w:sz="4" w:space="0" w:color="C0C0C0"/>
              <w:right w:val="single" w:sz="4" w:space="0" w:color="C0C0C0"/>
            </w:tcBorders>
            <w:shd w:val="clear" w:color="000000" w:fill="FEE883"/>
            <w:noWrap/>
            <w:vAlign w:val="bottom"/>
            <w:hideMark/>
          </w:tcPr>
          <w:p w14:paraId="588604BF"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-220</w:t>
            </w:r>
          </w:p>
        </w:tc>
        <w:tc>
          <w:tcPr>
            <w:tcW w:w="454" w:type="pct"/>
            <w:tcBorders>
              <w:top w:val="single" w:sz="4" w:space="0" w:color="C0C0C0"/>
              <w:left w:val="single" w:sz="4" w:space="0" w:color="C0C0C0"/>
              <w:bottom w:val="single" w:sz="4" w:space="0" w:color="C0C0C0"/>
              <w:right w:val="single" w:sz="4" w:space="0" w:color="C0C0C0"/>
            </w:tcBorders>
            <w:shd w:val="clear" w:color="000000" w:fill="FFEB84"/>
            <w:noWrap/>
            <w:vAlign w:val="bottom"/>
            <w:hideMark/>
          </w:tcPr>
          <w:p w14:paraId="2870EB34"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250</w:t>
            </w:r>
          </w:p>
        </w:tc>
        <w:tc>
          <w:tcPr>
            <w:tcW w:w="454"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0EFBFF3D"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40</w:t>
            </w:r>
          </w:p>
        </w:tc>
        <w:tc>
          <w:tcPr>
            <w:tcW w:w="455"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747B765D"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90</w:t>
            </w:r>
          </w:p>
        </w:tc>
        <w:tc>
          <w:tcPr>
            <w:tcW w:w="454"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3F78B842"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60</w:t>
            </w:r>
          </w:p>
        </w:tc>
        <w:tc>
          <w:tcPr>
            <w:tcW w:w="454"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15419A2A"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85</w:t>
            </w:r>
          </w:p>
        </w:tc>
        <w:tc>
          <w:tcPr>
            <w:tcW w:w="455"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10C3FD1A"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50</w:t>
            </w:r>
          </w:p>
        </w:tc>
        <w:tc>
          <w:tcPr>
            <w:tcW w:w="454" w:type="pct"/>
            <w:tcBorders>
              <w:top w:val="single" w:sz="4" w:space="0" w:color="C0C0C0"/>
              <w:left w:val="single" w:sz="4" w:space="0" w:color="C0C0C0"/>
              <w:bottom w:val="single" w:sz="4" w:space="0" w:color="C0C0C0"/>
              <w:right w:val="single" w:sz="4" w:space="0" w:color="C0C0C0"/>
            </w:tcBorders>
            <w:shd w:val="clear" w:color="000000" w:fill="FEEB84"/>
            <w:noWrap/>
            <w:vAlign w:val="bottom"/>
            <w:hideMark/>
          </w:tcPr>
          <w:p w14:paraId="49D178A1"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390</w:t>
            </w:r>
          </w:p>
        </w:tc>
        <w:tc>
          <w:tcPr>
            <w:tcW w:w="455" w:type="pct"/>
            <w:tcBorders>
              <w:top w:val="single" w:sz="4" w:space="0" w:color="C0C0C0"/>
              <w:left w:val="single" w:sz="4" w:space="0" w:color="C0C0C0"/>
              <w:bottom w:val="single" w:sz="4" w:space="0" w:color="C0C0C0"/>
              <w:right w:val="single" w:sz="4" w:space="0" w:color="C0C0C0"/>
            </w:tcBorders>
            <w:shd w:val="clear" w:color="000000" w:fill="FEE883"/>
            <w:noWrap/>
            <w:vAlign w:val="bottom"/>
            <w:hideMark/>
          </w:tcPr>
          <w:p w14:paraId="040D9C72"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-150</w:t>
            </w:r>
          </w:p>
        </w:tc>
      </w:tr>
      <w:tr w:rsidR="00F63900" w:rsidRPr="00B90332" w14:paraId="51B3E0F6" w14:textId="77777777" w:rsidTr="00F63900">
        <w:trPr>
          <w:trHeight w:val="575"/>
        </w:trPr>
        <w:tc>
          <w:tcPr>
            <w:tcW w:w="454" w:type="pct"/>
            <w:tcBorders>
              <w:top w:val="nil"/>
              <w:left w:val="nil"/>
              <w:bottom w:val="single" w:sz="4" w:space="0" w:color="C0C0C0"/>
              <w:right w:val="single" w:sz="4" w:space="0" w:color="C0C0C0"/>
            </w:tcBorders>
            <w:shd w:val="clear" w:color="000000" w:fill="D7F7F6"/>
            <w:hideMark/>
          </w:tcPr>
          <w:p w14:paraId="01524C12" w14:textId="77777777" w:rsidR="00B90332" w:rsidRPr="00F63900" w:rsidRDefault="00B90332" w:rsidP="008F03DF">
            <w:pPr>
              <w:spacing w:before="120" w:after="120" w:line="240" w:lineRule="atLeast"/>
              <w:rPr>
                <w:rFonts w:ascii="Arial" w:eastAsia="Times New Roman" w:hAnsi="Arial" w:cs="Arial"/>
                <w:lang w:eastAsia="en-NZ"/>
              </w:rPr>
            </w:pPr>
            <w:r w:rsidRPr="00F63900">
              <w:rPr>
                <w:rFonts w:ascii="Arial" w:eastAsia="Times New Roman" w:hAnsi="Arial" w:cs="Arial"/>
                <w:lang w:eastAsia="en-NZ"/>
              </w:rPr>
              <w:t>West Coast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FEB84"/>
            <w:noWrap/>
            <w:vAlign w:val="bottom"/>
            <w:hideMark/>
          </w:tcPr>
          <w:p w14:paraId="4D3D029D"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260</w:t>
            </w:r>
          </w:p>
        </w:tc>
        <w:tc>
          <w:tcPr>
            <w:tcW w:w="455" w:type="pct"/>
            <w:tcBorders>
              <w:top w:val="single" w:sz="4" w:space="0" w:color="C0C0C0"/>
              <w:left w:val="single" w:sz="4" w:space="0" w:color="C0C0C0"/>
              <w:bottom w:val="single" w:sz="4" w:space="0" w:color="C0C0C0"/>
              <w:right w:val="single" w:sz="4" w:space="0" w:color="C0C0C0"/>
            </w:tcBorders>
            <w:shd w:val="clear" w:color="000000" w:fill="FEE783"/>
            <w:noWrap/>
            <w:vAlign w:val="bottom"/>
            <w:hideMark/>
          </w:tcPr>
          <w:p w14:paraId="389A2418"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-320</w:t>
            </w:r>
          </w:p>
        </w:tc>
        <w:tc>
          <w:tcPr>
            <w:tcW w:w="454"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0C67709B"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60</w:t>
            </w:r>
          </w:p>
        </w:tc>
        <w:tc>
          <w:tcPr>
            <w:tcW w:w="454"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7757B383"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0</w:t>
            </w:r>
          </w:p>
        </w:tc>
        <w:tc>
          <w:tcPr>
            <w:tcW w:w="455"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7A8E942F"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30</w:t>
            </w:r>
          </w:p>
        </w:tc>
        <w:tc>
          <w:tcPr>
            <w:tcW w:w="454"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4AD7C8FB"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20</w:t>
            </w:r>
          </w:p>
        </w:tc>
        <w:tc>
          <w:tcPr>
            <w:tcW w:w="454"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53463367"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25</w:t>
            </w:r>
          </w:p>
        </w:tc>
        <w:tc>
          <w:tcPr>
            <w:tcW w:w="455"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472ED7AD"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30</w:t>
            </w:r>
          </w:p>
        </w:tc>
        <w:tc>
          <w:tcPr>
            <w:tcW w:w="454"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6B14D8D8"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210</w:t>
            </w:r>
          </w:p>
        </w:tc>
        <w:tc>
          <w:tcPr>
            <w:tcW w:w="455" w:type="pct"/>
            <w:tcBorders>
              <w:top w:val="single" w:sz="4" w:space="0" w:color="C0C0C0"/>
              <w:left w:val="single" w:sz="4" w:space="0" w:color="C0C0C0"/>
              <w:bottom w:val="single" w:sz="4" w:space="0" w:color="C0C0C0"/>
              <w:right w:val="single" w:sz="4" w:space="0" w:color="C0C0C0"/>
            </w:tcBorders>
            <w:shd w:val="clear" w:color="000000" w:fill="FEE883"/>
            <w:noWrap/>
            <w:vAlign w:val="bottom"/>
            <w:hideMark/>
          </w:tcPr>
          <w:p w14:paraId="19CFBDDF"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-150</w:t>
            </w:r>
          </w:p>
        </w:tc>
      </w:tr>
      <w:tr w:rsidR="00F63900" w:rsidRPr="00B90332" w14:paraId="61E821B5" w14:textId="77777777" w:rsidTr="00F63900">
        <w:trPr>
          <w:trHeight w:val="383"/>
        </w:trPr>
        <w:tc>
          <w:tcPr>
            <w:tcW w:w="454" w:type="pct"/>
            <w:tcBorders>
              <w:top w:val="nil"/>
              <w:left w:val="nil"/>
              <w:bottom w:val="single" w:sz="4" w:space="0" w:color="C0C0C0"/>
              <w:right w:val="single" w:sz="4" w:space="0" w:color="C0C0C0"/>
            </w:tcBorders>
            <w:shd w:val="clear" w:color="000000" w:fill="D7F7F6"/>
            <w:hideMark/>
          </w:tcPr>
          <w:p w14:paraId="7CCA2C1C" w14:textId="77777777" w:rsidR="00B90332" w:rsidRPr="00F63900" w:rsidRDefault="00B90332" w:rsidP="008F03DF">
            <w:pPr>
              <w:spacing w:before="120" w:after="120" w:line="240" w:lineRule="atLeast"/>
              <w:rPr>
                <w:rFonts w:ascii="Arial" w:eastAsia="Times New Roman" w:hAnsi="Arial" w:cs="Arial"/>
                <w:lang w:eastAsia="en-NZ"/>
              </w:rPr>
            </w:pPr>
            <w:r w:rsidRPr="00F63900">
              <w:rPr>
                <w:rFonts w:ascii="Arial" w:eastAsia="Times New Roman" w:hAnsi="Arial" w:cs="Arial"/>
                <w:lang w:eastAsia="en-NZ"/>
              </w:rPr>
              <w:t>Canterbury region</w:t>
            </w:r>
          </w:p>
        </w:tc>
        <w:tc>
          <w:tcPr>
            <w:tcW w:w="454" w:type="pct"/>
            <w:tcBorders>
              <w:top w:val="single" w:sz="4" w:space="0" w:color="C0C0C0"/>
              <w:left w:val="single" w:sz="4" w:space="0" w:color="C0C0C0"/>
              <w:bottom w:val="single" w:sz="4" w:space="0" w:color="C0C0C0"/>
              <w:right w:val="single" w:sz="4" w:space="0" w:color="C0C0C0"/>
            </w:tcBorders>
            <w:shd w:val="clear" w:color="000000" w:fill="E7E483"/>
            <w:noWrap/>
            <w:vAlign w:val="bottom"/>
            <w:hideMark/>
          </w:tcPr>
          <w:p w14:paraId="730B19D7"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3360</w:t>
            </w:r>
          </w:p>
        </w:tc>
        <w:tc>
          <w:tcPr>
            <w:tcW w:w="455" w:type="pct"/>
            <w:tcBorders>
              <w:top w:val="single" w:sz="4" w:space="0" w:color="C0C0C0"/>
              <w:left w:val="single" w:sz="4" w:space="0" w:color="C0C0C0"/>
              <w:bottom w:val="single" w:sz="4" w:space="0" w:color="C0C0C0"/>
              <w:right w:val="single" w:sz="4" w:space="0" w:color="C0C0C0"/>
            </w:tcBorders>
            <w:shd w:val="clear" w:color="000000" w:fill="FEE182"/>
            <w:noWrap/>
            <w:vAlign w:val="bottom"/>
            <w:hideMark/>
          </w:tcPr>
          <w:p w14:paraId="0BEB4E10"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-1250</w:t>
            </w:r>
          </w:p>
        </w:tc>
        <w:tc>
          <w:tcPr>
            <w:tcW w:w="454" w:type="pct"/>
            <w:tcBorders>
              <w:top w:val="single" w:sz="4" w:space="0" w:color="C0C0C0"/>
              <w:left w:val="single" w:sz="4" w:space="0" w:color="C0C0C0"/>
              <w:bottom w:val="single" w:sz="4" w:space="0" w:color="C0C0C0"/>
              <w:right w:val="single" w:sz="4" w:space="0" w:color="C0C0C0"/>
            </w:tcBorders>
            <w:shd w:val="clear" w:color="000000" w:fill="F2E884"/>
            <w:noWrap/>
            <w:vAlign w:val="bottom"/>
            <w:hideMark/>
          </w:tcPr>
          <w:p w14:paraId="5D1E6027"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1900</w:t>
            </w:r>
          </w:p>
        </w:tc>
        <w:tc>
          <w:tcPr>
            <w:tcW w:w="454" w:type="pct"/>
            <w:tcBorders>
              <w:top w:val="single" w:sz="4" w:space="0" w:color="C0C0C0"/>
              <w:left w:val="single" w:sz="4" w:space="0" w:color="C0C0C0"/>
              <w:bottom w:val="single" w:sz="4" w:space="0" w:color="C0C0C0"/>
              <w:right w:val="single" w:sz="4" w:space="0" w:color="C0C0C0"/>
            </w:tcBorders>
            <w:shd w:val="clear" w:color="000000" w:fill="F9E984"/>
            <w:noWrap/>
            <w:vAlign w:val="bottom"/>
            <w:hideMark/>
          </w:tcPr>
          <w:p w14:paraId="715B95AD"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1110</w:t>
            </w:r>
          </w:p>
        </w:tc>
        <w:tc>
          <w:tcPr>
            <w:tcW w:w="455" w:type="pct"/>
            <w:tcBorders>
              <w:top w:val="single" w:sz="4" w:space="0" w:color="C0C0C0"/>
              <w:left w:val="single" w:sz="4" w:space="0" w:color="C0C0C0"/>
              <w:bottom w:val="single" w:sz="4" w:space="0" w:color="C0C0C0"/>
              <w:right w:val="single" w:sz="4" w:space="0" w:color="C0C0C0"/>
            </w:tcBorders>
            <w:shd w:val="clear" w:color="000000" w:fill="F4E884"/>
            <w:noWrap/>
            <w:vAlign w:val="bottom"/>
            <w:hideMark/>
          </w:tcPr>
          <w:p w14:paraId="618A020F"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1730</w:t>
            </w:r>
          </w:p>
        </w:tc>
        <w:tc>
          <w:tcPr>
            <w:tcW w:w="454" w:type="pct"/>
            <w:tcBorders>
              <w:top w:val="single" w:sz="4" w:space="0" w:color="C0C0C0"/>
              <w:left w:val="single" w:sz="4" w:space="0" w:color="C0C0C0"/>
              <w:bottom w:val="single" w:sz="4" w:space="0" w:color="C0C0C0"/>
              <w:right w:val="single" w:sz="4" w:space="0" w:color="C0C0C0"/>
            </w:tcBorders>
            <w:shd w:val="clear" w:color="000000" w:fill="F9EA84"/>
            <w:noWrap/>
            <w:vAlign w:val="bottom"/>
            <w:hideMark/>
          </w:tcPr>
          <w:p w14:paraId="067DEF2A"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1030</w:t>
            </w:r>
          </w:p>
        </w:tc>
        <w:tc>
          <w:tcPr>
            <w:tcW w:w="454" w:type="pct"/>
            <w:tcBorders>
              <w:top w:val="single" w:sz="4" w:space="0" w:color="C0C0C0"/>
              <w:left w:val="single" w:sz="4" w:space="0" w:color="C0C0C0"/>
              <w:bottom w:val="single" w:sz="4" w:space="0" w:color="C0C0C0"/>
              <w:right w:val="single" w:sz="4" w:space="0" w:color="C0C0C0"/>
            </w:tcBorders>
            <w:shd w:val="clear" w:color="000000" w:fill="FBEA84"/>
            <w:noWrap/>
            <w:vAlign w:val="bottom"/>
            <w:hideMark/>
          </w:tcPr>
          <w:p w14:paraId="284CDF72"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770</w:t>
            </w:r>
          </w:p>
        </w:tc>
        <w:tc>
          <w:tcPr>
            <w:tcW w:w="455" w:type="pct"/>
            <w:tcBorders>
              <w:top w:val="single" w:sz="4" w:space="0" w:color="C0C0C0"/>
              <w:left w:val="single" w:sz="4" w:space="0" w:color="C0C0C0"/>
              <w:bottom w:val="single" w:sz="4" w:space="0" w:color="C0C0C0"/>
              <w:right w:val="single" w:sz="4" w:space="0" w:color="C0C0C0"/>
            </w:tcBorders>
            <w:shd w:val="clear" w:color="000000" w:fill="FEEB84"/>
            <w:noWrap/>
            <w:vAlign w:val="bottom"/>
            <w:hideMark/>
          </w:tcPr>
          <w:p w14:paraId="2824F34E"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400</w:t>
            </w:r>
          </w:p>
        </w:tc>
        <w:tc>
          <w:tcPr>
            <w:tcW w:w="454" w:type="pct"/>
            <w:tcBorders>
              <w:top w:val="single" w:sz="4" w:space="0" w:color="C0C0C0"/>
              <w:left w:val="single" w:sz="4" w:space="0" w:color="C0C0C0"/>
              <w:bottom w:val="single" w:sz="4" w:space="0" w:color="C0C0C0"/>
              <w:right w:val="single" w:sz="4" w:space="0" w:color="C0C0C0"/>
            </w:tcBorders>
            <w:shd w:val="clear" w:color="000000" w:fill="DFE283"/>
            <w:noWrap/>
            <w:vAlign w:val="bottom"/>
            <w:hideMark/>
          </w:tcPr>
          <w:p w14:paraId="2C96B77A"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4310</w:t>
            </w:r>
          </w:p>
        </w:tc>
        <w:tc>
          <w:tcPr>
            <w:tcW w:w="455" w:type="pct"/>
            <w:tcBorders>
              <w:top w:val="single" w:sz="4" w:space="0" w:color="C0C0C0"/>
              <w:left w:val="single" w:sz="4" w:space="0" w:color="C0C0C0"/>
              <w:bottom w:val="single" w:sz="4" w:space="0" w:color="C0C0C0"/>
              <w:right w:val="single" w:sz="4" w:space="0" w:color="C0C0C0"/>
            </w:tcBorders>
            <w:shd w:val="clear" w:color="000000" w:fill="FDD880"/>
            <w:noWrap/>
            <w:vAlign w:val="bottom"/>
            <w:hideMark/>
          </w:tcPr>
          <w:p w14:paraId="2D098961"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-2800</w:t>
            </w:r>
          </w:p>
        </w:tc>
      </w:tr>
      <w:tr w:rsidR="00F63900" w:rsidRPr="00B90332" w14:paraId="2665A3A4" w14:textId="77777777" w:rsidTr="00F63900">
        <w:trPr>
          <w:trHeight w:val="383"/>
        </w:trPr>
        <w:tc>
          <w:tcPr>
            <w:tcW w:w="454" w:type="pct"/>
            <w:tcBorders>
              <w:top w:val="nil"/>
              <w:left w:val="nil"/>
              <w:bottom w:val="single" w:sz="4" w:space="0" w:color="C0C0C0"/>
              <w:right w:val="single" w:sz="4" w:space="0" w:color="C0C0C0"/>
            </w:tcBorders>
            <w:shd w:val="clear" w:color="000000" w:fill="D7F7F6"/>
            <w:hideMark/>
          </w:tcPr>
          <w:p w14:paraId="216203EF" w14:textId="77777777" w:rsidR="00B90332" w:rsidRPr="00F63900" w:rsidRDefault="00B90332" w:rsidP="008F03DF">
            <w:pPr>
              <w:spacing w:before="120" w:after="120" w:line="240" w:lineRule="atLeast"/>
              <w:rPr>
                <w:rFonts w:ascii="Arial" w:eastAsia="Times New Roman" w:hAnsi="Arial" w:cs="Arial"/>
                <w:lang w:eastAsia="en-NZ"/>
              </w:rPr>
            </w:pPr>
            <w:r w:rsidRPr="00F63900">
              <w:rPr>
                <w:rFonts w:ascii="Arial" w:eastAsia="Times New Roman" w:hAnsi="Arial" w:cs="Arial"/>
                <w:lang w:eastAsia="en-NZ"/>
              </w:rPr>
              <w:t>Otago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AEA84"/>
            <w:noWrap/>
            <w:vAlign w:val="bottom"/>
            <w:hideMark/>
          </w:tcPr>
          <w:p w14:paraId="483D9FDF"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980</w:t>
            </w:r>
          </w:p>
        </w:tc>
        <w:tc>
          <w:tcPr>
            <w:tcW w:w="455" w:type="pct"/>
            <w:tcBorders>
              <w:top w:val="single" w:sz="4" w:space="0" w:color="C0C0C0"/>
              <w:left w:val="single" w:sz="4" w:space="0" w:color="C0C0C0"/>
              <w:bottom w:val="single" w:sz="4" w:space="0" w:color="C0C0C0"/>
              <w:right w:val="single" w:sz="4" w:space="0" w:color="C0C0C0"/>
            </w:tcBorders>
            <w:shd w:val="clear" w:color="000000" w:fill="FEE482"/>
            <w:noWrap/>
            <w:vAlign w:val="bottom"/>
            <w:hideMark/>
          </w:tcPr>
          <w:p w14:paraId="7F2B02C1"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-840</w:t>
            </w:r>
          </w:p>
        </w:tc>
        <w:tc>
          <w:tcPr>
            <w:tcW w:w="454" w:type="pct"/>
            <w:tcBorders>
              <w:top w:val="single" w:sz="4" w:space="0" w:color="C0C0C0"/>
              <w:left w:val="single" w:sz="4" w:space="0" w:color="C0C0C0"/>
              <w:bottom w:val="single" w:sz="4" w:space="0" w:color="C0C0C0"/>
              <w:right w:val="single" w:sz="4" w:space="0" w:color="C0C0C0"/>
            </w:tcBorders>
            <w:shd w:val="clear" w:color="000000" w:fill="FCEB84"/>
            <w:noWrap/>
            <w:vAlign w:val="bottom"/>
            <w:hideMark/>
          </w:tcPr>
          <w:p w14:paraId="301590AA"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640</w:t>
            </w:r>
          </w:p>
        </w:tc>
        <w:tc>
          <w:tcPr>
            <w:tcW w:w="454" w:type="pct"/>
            <w:tcBorders>
              <w:top w:val="single" w:sz="4" w:space="0" w:color="C0C0C0"/>
              <w:left w:val="single" w:sz="4" w:space="0" w:color="C0C0C0"/>
              <w:bottom w:val="single" w:sz="4" w:space="0" w:color="C0C0C0"/>
              <w:right w:val="single" w:sz="4" w:space="0" w:color="C0C0C0"/>
            </w:tcBorders>
            <w:shd w:val="clear" w:color="000000" w:fill="FFEB84"/>
            <w:noWrap/>
            <w:vAlign w:val="bottom"/>
            <w:hideMark/>
          </w:tcPr>
          <w:p w14:paraId="465B889F"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290</w:t>
            </w:r>
          </w:p>
        </w:tc>
        <w:tc>
          <w:tcPr>
            <w:tcW w:w="455"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409524D0"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80</w:t>
            </w:r>
          </w:p>
        </w:tc>
        <w:tc>
          <w:tcPr>
            <w:tcW w:w="454" w:type="pct"/>
            <w:tcBorders>
              <w:top w:val="single" w:sz="4" w:space="0" w:color="C0C0C0"/>
              <w:left w:val="single" w:sz="4" w:space="0" w:color="C0C0C0"/>
              <w:bottom w:val="single" w:sz="4" w:space="0" w:color="C0C0C0"/>
              <w:right w:val="single" w:sz="4" w:space="0" w:color="C0C0C0"/>
            </w:tcBorders>
            <w:shd w:val="clear" w:color="000000" w:fill="FEE783"/>
            <w:noWrap/>
            <w:vAlign w:val="bottom"/>
            <w:hideMark/>
          </w:tcPr>
          <w:p w14:paraId="34B20C5D"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-360</w:t>
            </w:r>
          </w:p>
        </w:tc>
        <w:tc>
          <w:tcPr>
            <w:tcW w:w="454" w:type="pct"/>
            <w:tcBorders>
              <w:top w:val="single" w:sz="4" w:space="0" w:color="C0C0C0"/>
              <w:left w:val="single" w:sz="4" w:space="0" w:color="C0C0C0"/>
              <w:bottom w:val="single" w:sz="4" w:space="0" w:color="C0C0C0"/>
              <w:right w:val="single" w:sz="4" w:space="0" w:color="C0C0C0"/>
            </w:tcBorders>
            <w:shd w:val="clear" w:color="000000" w:fill="FFEB84"/>
            <w:noWrap/>
            <w:vAlign w:val="bottom"/>
            <w:hideMark/>
          </w:tcPr>
          <w:p w14:paraId="2D912C98"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250</w:t>
            </w:r>
          </w:p>
        </w:tc>
        <w:tc>
          <w:tcPr>
            <w:tcW w:w="455"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356890C5"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110</w:t>
            </w:r>
          </w:p>
        </w:tc>
        <w:tc>
          <w:tcPr>
            <w:tcW w:w="454" w:type="pct"/>
            <w:tcBorders>
              <w:top w:val="single" w:sz="4" w:space="0" w:color="C0C0C0"/>
              <w:left w:val="single" w:sz="4" w:space="0" w:color="C0C0C0"/>
              <w:bottom w:val="single" w:sz="4" w:space="0" w:color="C0C0C0"/>
              <w:right w:val="single" w:sz="4" w:space="0" w:color="C0C0C0"/>
            </w:tcBorders>
            <w:shd w:val="clear" w:color="000000" w:fill="F8E984"/>
            <w:noWrap/>
            <w:vAlign w:val="bottom"/>
            <w:hideMark/>
          </w:tcPr>
          <w:p w14:paraId="0786AF56"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1210</w:t>
            </w:r>
          </w:p>
        </w:tc>
        <w:tc>
          <w:tcPr>
            <w:tcW w:w="455" w:type="pct"/>
            <w:tcBorders>
              <w:top w:val="single" w:sz="4" w:space="0" w:color="C0C0C0"/>
              <w:left w:val="single" w:sz="4" w:space="0" w:color="C0C0C0"/>
              <w:bottom w:val="single" w:sz="4" w:space="0" w:color="C0C0C0"/>
              <w:right w:val="single" w:sz="4" w:space="0" w:color="C0C0C0"/>
            </w:tcBorders>
            <w:shd w:val="clear" w:color="000000" w:fill="FEE081"/>
            <w:noWrap/>
            <w:vAlign w:val="bottom"/>
            <w:hideMark/>
          </w:tcPr>
          <w:p w14:paraId="55011A95"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-1500</w:t>
            </w:r>
          </w:p>
        </w:tc>
      </w:tr>
      <w:tr w:rsidR="00F63900" w:rsidRPr="00B90332" w14:paraId="721A050D" w14:textId="77777777" w:rsidTr="00F63900">
        <w:trPr>
          <w:trHeight w:val="383"/>
        </w:trPr>
        <w:tc>
          <w:tcPr>
            <w:tcW w:w="454" w:type="pct"/>
            <w:tcBorders>
              <w:top w:val="nil"/>
              <w:left w:val="nil"/>
              <w:bottom w:val="single" w:sz="4" w:space="0" w:color="C0C0C0"/>
              <w:right w:val="single" w:sz="4" w:space="0" w:color="C0C0C0"/>
            </w:tcBorders>
            <w:shd w:val="clear" w:color="000000" w:fill="D7F7F6"/>
            <w:hideMark/>
          </w:tcPr>
          <w:p w14:paraId="2443986E" w14:textId="77777777" w:rsidR="00B90332" w:rsidRPr="00F63900" w:rsidRDefault="00B90332" w:rsidP="008F03DF">
            <w:pPr>
              <w:spacing w:before="120" w:after="120" w:line="240" w:lineRule="atLeast"/>
              <w:rPr>
                <w:rFonts w:ascii="Arial" w:eastAsia="Times New Roman" w:hAnsi="Arial" w:cs="Arial"/>
                <w:lang w:eastAsia="en-NZ"/>
              </w:rPr>
            </w:pPr>
            <w:r w:rsidRPr="00F63900">
              <w:rPr>
                <w:rFonts w:ascii="Arial" w:eastAsia="Times New Roman" w:hAnsi="Arial" w:cs="Arial"/>
                <w:lang w:eastAsia="en-NZ"/>
              </w:rPr>
              <w:t>Southland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EEB84"/>
            <w:noWrap/>
            <w:vAlign w:val="bottom"/>
            <w:hideMark/>
          </w:tcPr>
          <w:p w14:paraId="503B833C"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370</w:t>
            </w:r>
          </w:p>
        </w:tc>
        <w:tc>
          <w:tcPr>
            <w:tcW w:w="455" w:type="pct"/>
            <w:tcBorders>
              <w:top w:val="single" w:sz="4" w:space="0" w:color="C0C0C0"/>
              <w:left w:val="single" w:sz="4" w:space="0" w:color="C0C0C0"/>
              <w:bottom w:val="single" w:sz="4" w:space="0" w:color="C0C0C0"/>
              <w:right w:val="single" w:sz="4" w:space="0" w:color="C0C0C0"/>
            </w:tcBorders>
            <w:shd w:val="clear" w:color="000000" w:fill="FEE683"/>
            <w:noWrap/>
            <w:vAlign w:val="bottom"/>
            <w:hideMark/>
          </w:tcPr>
          <w:p w14:paraId="16267562"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-440</w:t>
            </w:r>
          </w:p>
        </w:tc>
        <w:tc>
          <w:tcPr>
            <w:tcW w:w="454" w:type="pct"/>
            <w:tcBorders>
              <w:top w:val="single" w:sz="4" w:space="0" w:color="C0C0C0"/>
              <w:left w:val="single" w:sz="4" w:space="0" w:color="C0C0C0"/>
              <w:bottom w:val="single" w:sz="4" w:space="0" w:color="C0C0C0"/>
              <w:right w:val="single" w:sz="4" w:space="0" w:color="C0C0C0"/>
            </w:tcBorders>
            <w:shd w:val="clear" w:color="000000" w:fill="FFEB84"/>
            <w:noWrap/>
            <w:vAlign w:val="bottom"/>
            <w:hideMark/>
          </w:tcPr>
          <w:p w14:paraId="5C71E93F"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280</w:t>
            </w:r>
          </w:p>
        </w:tc>
        <w:tc>
          <w:tcPr>
            <w:tcW w:w="454" w:type="pct"/>
            <w:tcBorders>
              <w:top w:val="single" w:sz="4" w:space="0" w:color="C0C0C0"/>
              <w:left w:val="single" w:sz="4" w:space="0" w:color="C0C0C0"/>
              <w:bottom w:val="single" w:sz="4" w:space="0" w:color="C0C0C0"/>
              <w:right w:val="single" w:sz="4" w:space="0" w:color="C0C0C0"/>
            </w:tcBorders>
            <w:shd w:val="clear" w:color="000000" w:fill="FFEB84"/>
            <w:noWrap/>
            <w:vAlign w:val="bottom"/>
            <w:hideMark/>
          </w:tcPr>
          <w:p w14:paraId="190DFC04"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300</w:t>
            </w:r>
          </w:p>
        </w:tc>
        <w:tc>
          <w:tcPr>
            <w:tcW w:w="455"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4889EF08"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180</w:t>
            </w:r>
          </w:p>
        </w:tc>
        <w:tc>
          <w:tcPr>
            <w:tcW w:w="454"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6EA3EDFB"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60</w:t>
            </w:r>
          </w:p>
        </w:tc>
        <w:tc>
          <w:tcPr>
            <w:tcW w:w="454"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21ED9B7D"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110</w:t>
            </w:r>
          </w:p>
        </w:tc>
        <w:tc>
          <w:tcPr>
            <w:tcW w:w="455" w:type="pct"/>
            <w:tcBorders>
              <w:top w:val="single" w:sz="4" w:space="0" w:color="C0C0C0"/>
              <w:left w:val="single" w:sz="4" w:space="0" w:color="C0C0C0"/>
              <w:bottom w:val="single" w:sz="4" w:space="0" w:color="C0C0C0"/>
              <w:right w:val="single" w:sz="4" w:space="0" w:color="C0C0C0"/>
            </w:tcBorders>
            <w:shd w:val="clear" w:color="000000" w:fill="FEEA83"/>
            <w:noWrap/>
            <w:vAlign w:val="bottom"/>
            <w:hideMark/>
          </w:tcPr>
          <w:p w14:paraId="3372D411"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120</w:t>
            </w:r>
          </w:p>
        </w:tc>
        <w:tc>
          <w:tcPr>
            <w:tcW w:w="454" w:type="pct"/>
            <w:tcBorders>
              <w:top w:val="single" w:sz="4" w:space="0" w:color="C0C0C0"/>
              <w:left w:val="single" w:sz="4" w:space="0" w:color="C0C0C0"/>
              <w:bottom w:val="single" w:sz="4" w:space="0" w:color="C0C0C0"/>
              <w:right w:val="single" w:sz="4" w:space="0" w:color="C0C0C0"/>
            </w:tcBorders>
            <w:shd w:val="clear" w:color="000000" w:fill="FDEB84"/>
            <w:noWrap/>
            <w:vAlign w:val="bottom"/>
            <w:hideMark/>
          </w:tcPr>
          <w:p w14:paraId="573E58DB"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510</w:t>
            </w:r>
          </w:p>
        </w:tc>
        <w:tc>
          <w:tcPr>
            <w:tcW w:w="455" w:type="pct"/>
            <w:tcBorders>
              <w:top w:val="single" w:sz="4" w:space="0" w:color="C0C0C0"/>
              <w:left w:val="single" w:sz="4" w:space="0" w:color="C0C0C0"/>
              <w:bottom w:val="single" w:sz="4" w:space="0" w:color="C0C0C0"/>
              <w:right w:val="single" w:sz="4" w:space="0" w:color="C0C0C0"/>
            </w:tcBorders>
            <w:shd w:val="clear" w:color="000000" w:fill="FEE683"/>
            <w:noWrap/>
            <w:vAlign w:val="bottom"/>
            <w:hideMark/>
          </w:tcPr>
          <w:p w14:paraId="0DE3AABE"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-490</w:t>
            </w:r>
          </w:p>
        </w:tc>
      </w:tr>
      <w:tr w:rsidR="00F63900" w:rsidRPr="00B90332" w14:paraId="123025AD" w14:textId="77777777" w:rsidTr="00F63900">
        <w:trPr>
          <w:trHeight w:val="575"/>
        </w:trPr>
        <w:tc>
          <w:tcPr>
            <w:tcW w:w="454" w:type="pct"/>
            <w:tcBorders>
              <w:top w:val="nil"/>
              <w:left w:val="nil"/>
              <w:bottom w:val="single" w:sz="4" w:space="0" w:color="C0C0C0"/>
              <w:right w:val="single" w:sz="4" w:space="0" w:color="C0C0C0"/>
            </w:tcBorders>
            <w:shd w:val="clear" w:color="000000" w:fill="D7F7F6"/>
            <w:hideMark/>
          </w:tcPr>
          <w:p w14:paraId="6B40AF3E" w14:textId="77777777" w:rsidR="00B90332" w:rsidRPr="00F63900" w:rsidRDefault="00B90332" w:rsidP="008F03DF">
            <w:pPr>
              <w:spacing w:before="120" w:after="120" w:line="240" w:lineRule="atLeast"/>
              <w:rPr>
                <w:rFonts w:ascii="Arial" w:eastAsia="Times New Roman" w:hAnsi="Arial" w:cs="Arial"/>
                <w:lang w:eastAsia="en-NZ"/>
              </w:rPr>
            </w:pPr>
            <w:r w:rsidRPr="00F63900">
              <w:rPr>
                <w:rFonts w:ascii="Arial" w:eastAsia="Times New Roman" w:hAnsi="Arial" w:cs="Arial"/>
                <w:lang w:eastAsia="en-NZ"/>
              </w:rPr>
              <w:t>Area outside region</w:t>
            </w:r>
          </w:p>
        </w:tc>
        <w:tc>
          <w:tcPr>
            <w:tcW w:w="454"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2B8FD08A"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5</w:t>
            </w:r>
          </w:p>
        </w:tc>
        <w:tc>
          <w:tcPr>
            <w:tcW w:w="455"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47401114"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25</w:t>
            </w:r>
          </w:p>
        </w:tc>
        <w:tc>
          <w:tcPr>
            <w:tcW w:w="454"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7FDC0906"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10</w:t>
            </w:r>
          </w:p>
        </w:tc>
        <w:tc>
          <w:tcPr>
            <w:tcW w:w="454"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37532670"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15</w:t>
            </w:r>
          </w:p>
        </w:tc>
        <w:tc>
          <w:tcPr>
            <w:tcW w:w="455"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0BF668E3"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0</w:t>
            </w:r>
          </w:p>
        </w:tc>
        <w:tc>
          <w:tcPr>
            <w:tcW w:w="454"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072289E9"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0</w:t>
            </w:r>
          </w:p>
        </w:tc>
        <w:tc>
          <w:tcPr>
            <w:tcW w:w="454"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53116105"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5</w:t>
            </w:r>
          </w:p>
        </w:tc>
        <w:tc>
          <w:tcPr>
            <w:tcW w:w="455"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5CC3F18E"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5</w:t>
            </w:r>
          </w:p>
        </w:tc>
        <w:tc>
          <w:tcPr>
            <w:tcW w:w="454"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6416AE46"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5</w:t>
            </w:r>
          </w:p>
        </w:tc>
        <w:tc>
          <w:tcPr>
            <w:tcW w:w="455" w:type="pct"/>
            <w:tcBorders>
              <w:top w:val="single" w:sz="4" w:space="0" w:color="C0C0C0"/>
              <w:left w:val="single" w:sz="4" w:space="0" w:color="C0C0C0"/>
              <w:bottom w:val="single" w:sz="4" w:space="0" w:color="C0C0C0"/>
              <w:right w:val="single" w:sz="4" w:space="0" w:color="C0C0C0"/>
            </w:tcBorders>
            <w:shd w:val="clear" w:color="000000" w:fill="FEE983"/>
            <w:noWrap/>
            <w:vAlign w:val="bottom"/>
            <w:hideMark/>
          </w:tcPr>
          <w:p w14:paraId="55289D87"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20</w:t>
            </w:r>
          </w:p>
        </w:tc>
      </w:tr>
      <w:tr w:rsidR="00F63900" w:rsidRPr="00B90332" w14:paraId="34A54671" w14:textId="77777777" w:rsidTr="00F63900">
        <w:trPr>
          <w:trHeight w:val="767"/>
        </w:trPr>
        <w:tc>
          <w:tcPr>
            <w:tcW w:w="454" w:type="pct"/>
            <w:tcBorders>
              <w:top w:val="nil"/>
              <w:left w:val="nil"/>
              <w:bottom w:val="single" w:sz="4" w:space="0" w:color="C0C0C0"/>
              <w:right w:val="single" w:sz="4" w:space="0" w:color="C0C0C0"/>
            </w:tcBorders>
            <w:shd w:val="clear" w:color="000000" w:fill="D7F7F6"/>
            <w:hideMark/>
          </w:tcPr>
          <w:p w14:paraId="5C222B52" w14:textId="77777777" w:rsidR="00B90332" w:rsidRPr="00F63900" w:rsidRDefault="003B666F" w:rsidP="008F03DF">
            <w:pPr>
              <w:spacing w:before="120" w:after="120" w:line="240" w:lineRule="atLeast"/>
              <w:rPr>
                <w:rFonts w:ascii="Arial" w:eastAsia="Times New Roman" w:hAnsi="Arial" w:cs="Arial"/>
                <w:u w:val="single"/>
                <w:lang w:eastAsia="en-NZ"/>
              </w:rPr>
            </w:pPr>
            <w:hyperlink r:id="rId59" w:tooltip="Click once to display linked information. Click and hold to select this cell." w:history="1">
              <w:r w:rsidR="00B90332" w:rsidRPr="00F63900">
                <w:rPr>
                  <w:rFonts w:ascii="Arial" w:eastAsia="Times New Roman" w:hAnsi="Arial" w:cs="Arial"/>
                  <w:u w:val="single"/>
                  <w:lang w:eastAsia="en-NZ"/>
                </w:rPr>
                <w:t>Total, North Island regions</w:t>
              </w:r>
            </w:hyperlink>
          </w:p>
        </w:tc>
        <w:tc>
          <w:tcPr>
            <w:tcW w:w="454" w:type="pct"/>
            <w:tcBorders>
              <w:top w:val="single" w:sz="4" w:space="0" w:color="C0C0C0"/>
              <w:left w:val="single" w:sz="4" w:space="0" w:color="C0C0C0"/>
              <w:bottom w:val="single" w:sz="4" w:space="0" w:color="C0C0C0"/>
              <w:right w:val="single" w:sz="4" w:space="0" w:color="C0C0C0"/>
            </w:tcBorders>
            <w:shd w:val="clear" w:color="000000" w:fill="9FD07F"/>
            <w:noWrap/>
            <w:vAlign w:val="bottom"/>
            <w:hideMark/>
          </w:tcPr>
          <w:p w14:paraId="25E4E1F3"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12370</w:t>
            </w:r>
          </w:p>
        </w:tc>
        <w:tc>
          <w:tcPr>
            <w:tcW w:w="455" w:type="pct"/>
            <w:tcBorders>
              <w:top w:val="single" w:sz="4" w:space="0" w:color="C0C0C0"/>
              <w:left w:val="single" w:sz="4" w:space="0" w:color="C0C0C0"/>
              <w:bottom w:val="single" w:sz="4" w:space="0" w:color="C0C0C0"/>
              <w:right w:val="single" w:sz="4" w:space="0" w:color="C0C0C0"/>
            </w:tcBorders>
            <w:shd w:val="clear" w:color="000000" w:fill="FBA977"/>
            <w:noWrap/>
            <w:vAlign w:val="bottom"/>
            <w:hideMark/>
          </w:tcPr>
          <w:p w14:paraId="58BCF61A"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-10370</w:t>
            </w:r>
          </w:p>
        </w:tc>
        <w:tc>
          <w:tcPr>
            <w:tcW w:w="454" w:type="pct"/>
            <w:tcBorders>
              <w:top w:val="single" w:sz="4" w:space="0" w:color="C0C0C0"/>
              <w:left w:val="single" w:sz="4" w:space="0" w:color="C0C0C0"/>
              <w:bottom w:val="single" w:sz="4" w:space="0" w:color="C0C0C0"/>
              <w:right w:val="single" w:sz="4" w:space="0" w:color="C0C0C0"/>
            </w:tcBorders>
            <w:shd w:val="clear" w:color="000000" w:fill="96CD7E"/>
            <w:noWrap/>
            <w:vAlign w:val="bottom"/>
            <w:hideMark/>
          </w:tcPr>
          <w:p w14:paraId="643A2094"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13590</w:t>
            </w:r>
          </w:p>
        </w:tc>
        <w:tc>
          <w:tcPr>
            <w:tcW w:w="454" w:type="pct"/>
            <w:tcBorders>
              <w:top w:val="single" w:sz="4" w:space="0" w:color="C0C0C0"/>
              <w:left w:val="single" w:sz="4" w:space="0" w:color="C0C0C0"/>
              <w:bottom w:val="single" w:sz="4" w:space="0" w:color="C0C0C0"/>
              <w:right w:val="single" w:sz="4" w:space="0" w:color="C0C0C0"/>
            </w:tcBorders>
            <w:shd w:val="clear" w:color="000000" w:fill="BDD881"/>
            <w:noWrap/>
            <w:vAlign w:val="bottom"/>
            <w:hideMark/>
          </w:tcPr>
          <w:p w14:paraId="2500C581"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8560</w:t>
            </w:r>
          </w:p>
        </w:tc>
        <w:tc>
          <w:tcPr>
            <w:tcW w:w="455" w:type="pct"/>
            <w:tcBorders>
              <w:top w:val="single" w:sz="4" w:space="0" w:color="C0C0C0"/>
              <w:left w:val="single" w:sz="4" w:space="0" w:color="C0C0C0"/>
              <w:bottom w:val="single" w:sz="4" w:space="0" w:color="C0C0C0"/>
              <w:right w:val="single" w:sz="4" w:space="0" w:color="C0C0C0"/>
            </w:tcBorders>
            <w:shd w:val="clear" w:color="000000" w:fill="AAD380"/>
            <w:noWrap/>
            <w:vAlign w:val="bottom"/>
            <w:hideMark/>
          </w:tcPr>
          <w:p w14:paraId="29A5A362"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11030</w:t>
            </w:r>
          </w:p>
        </w:tc>
        <w:tc>
          <w:tcPr>
            <w:tcW w:w="454" w:type="pct"/>
            <w:tcBorders>
              <w:top w:val="single" w:sz="4" w:space="0" w:color="C0C0C0"/>
              <w:left w:val="single" w:sz="4" w:space="0" w:color="C0C0C0"/>
              <w:bottom w:val="single" w:sz="4" w:space="0" w:color="C0C0C0"/>
              <w:right w:val="single" w:sz="4" w:space="0" w:color="C0C0C0"/>
            </w:tcBorders>
            <w:shd w:val="clear" w:color="000000" w:fill="FDD57F"/>
            <w:noWrap/>
            <w:vAlign w:val="bottom"/>
            <w:hideMark/>
          </w:tcPr>
          <w:p w14:paraId="52799EF2"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-3240</w:t>
            </w:r>
          </w:p>
        </w:tc>
        <w:tc>
          <w:tcPr>
            <w:tcW w:w="454" w:type="pct"/>
            <w:tcBorders>
              <w:top w:val="single" w:sz="4" w:space="0" w:color="C0C0C0"/>
              <w:left w:val="single" w:sz="4" w:space="0" w:color="C0C0C0"/>
              <w:bottom w:val="single" w:sz="4" w:space="0" w:color="C0C0C0"/>
              <w:right w:val="single" w:sz="4" w:space="0" w:color="C0C0C0"/>
            </w:tcBorders>
            <w:shd w:val="clear" w:color="000000" w:fill="CEDD82"/>
            <w:noWrap/>
            <w:vAlign w:val="bottom"/>
            <w:hideMark/>
          </w:tcPr>
          <w:p w14:paraId="1ED39A89"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6410</w:t>
            </w:r>
          </w:p>
        </w:tc>
        <w:tc>
          <w:tcPr>
            <w:tcW w:w="455" w:type="pct"/>
            <w:tcBorders>
              <w:top w:val="single" w:sz="4" w:space="0" w:color="C0C0C0"/>
              <w:left w:val="single" w:sz="4" w:space="0" w:color="C0C0C0"/>
              <w:bottom w:val="single" w:sz="4" w:space="0" w:color="C0C0C0"/>
              <w:right w:val="single" w:sz="4" w:space="0" w:color="C0C0C0"/>
            </w:tcBorders>
            <w:shd w:val="clear" w:color="000000" w:fill="E3E383"/>
            <w:noWrap/>
            <w:vAlign w:val="bottom"/>
            <w:hideMark/>
          </w:tcPr>
          <w:p w14:paraId="36DC2D79"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3870</w:t>
            </w:r>
          </w:p>
        </w:tc>
        <w:tc>
          <w:tcPr>
            <w:tcW w:w="454" w:type="pct"/>
            <w:tcBorders>
              <w:top w:val="single" w:sz="4" w:space="0" w:color="C0C0C0"/>
              <w:left w:val="single" w:sz="4" w:space="0" w:color="C0C0C0"/>
              <w:bottom w:val="single" w:sz="4" w:space="0" w:color="C0C0C0"/>
              <w:right w:val="single" w:sz="4" w:space="0" w:color="C0C0C0"/>
            </w:tcBorders>
            <w:shd w:val="clear" w:color="000000" w:fill="63BE7B"/>
            <w:noWrap/>
            <w:vAlign w:val="bottom"/>
            <w:hideMark/>
          </w:tcPr>
          <w:p w14:paraId="37C93B2C"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19890</w:t>
            </w:r>
          </w:p>
        </w:tc>
        <w:tc>
          <w:tcPr>
            <w:tcW w:w="455" w:type="pct"/>
            <w:tcBorders>
              <w:top w:val="single" w:sz="4" w:space="0" w:color="C0C0C0"/>
              <w:left w:val="single" w:sz="4" w:space="0" w:color="C0C0C0"/>
              <w:bottom w:val="single" w:sz="4" w:space="0" w:color="C0C0C0"/>
              <w:right w:val="single" w:sz="4" w:space="0" w:color="C0C0C0"/>
            </w:tcBorders>
            <w:shd w:val="clear" w:color="000000" w:fill="F8696B"/>
            <w:noWrap/>
            <w:vAlign w:val="bottom"/>
            <w:hideMark/>
          </w:tcPr>
          <w:p w14:paraId="3DEFD403"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-20850</w:t>
            </w:r>
          </w:p>
        </w:tc>
      </w:tr>
      <w:tr w:rsidR="00F63900" w:rsidRPr="00B90332" w14:paraId="112BACED" w14:textId="77777777" w:rsidTr="00F63900">
        <w:trPr>
          <w:trHeight w:val="767"/>
        </w:trPr>
        <w:tc>
          <w:tcPr>
            <w:tcW w:w="454" w:type="pct"/>
            <w:tcBorders>
              <w:top w:val="nil"/>
              <w:left w:val="nil"/>
              <w:bottom w:val="single" w:sz="4" w:space="0" w:color="C0C0C0"/>
              <w:right w:val="single" w:sz="4" w:space="0" w:color="C0C0C0"/>
            </w:tcBorders>
            <w:shd w:val="clear" w:color="000000" w:fill="D7F7F6"/>
            <w:hideMark/>
          </w:tcPr>
          <w:p w14:paraId="438C1E3D" w14:textId="77777777" w:rsidR="00B90332" w:rsidRPr="00F63900" w:rsidRDefault="003B666F" w:rsidP="008F03DF">
            <w:pPr>
              <w:spacing w:before="120" w:after="120" w:line="240" w:lineRule="atLeast"/>
              <w:rPr>
                <w:rFonts w:ascii="Arial" w:eastAsia="Times New Roman" w:hAnsi="Arial" w:cs="Arial"/>
                <w:u w:val="single"/>
                <w:lang w:eastAsia="en-NZ"/>
              </w:rPr>
            </w:pPr>
            <w:hyperlink r:id="rId60" w:tooltip="Click once to display linked information. Click and hold to select this cell." w:history="1">
              <w:r w:rsidR="00B90332" w:rsidRPr="00F63900">
                <w:rPr>
                  <w:rFonts w:ascii="Arial" w:eastAsia="Times New Roman" w:hAnsi="Arial" w:cs="Arial"/>
                  <w:u w:val="single"/>
                  <w:lang w:eastAsia="en-NZ"/>
                </w:rPr>
                <w:t>Total, South Island regions</w:t>
              </w:r>
            </w:hyperlink>
          </w:p>
        </w:tc>
        <w:tc>
          <w:tcPr>
            <w:tcW w:w="454" w:type="pct"/>
            <w:tcBorders>
              <w:top w:val="single" w:sz="4" w:space="0" w:color="C0C0C0"/>
              <w:left w:val="single" w:sz="4" w:space="0" w:color="C0C0C0"/>
              <w:bottom w:val="single" w:sz="4" w:space="0" w:color="C0C0C0"/>
              <w:right w:val="single" w:sz="4" w:space="0" w:color="C0C0C0"/>
            </w:tcBorders>
            <w:shd w:val="clear" w:color="000000" w:fill="D5DF82"/>
            <w:noWrap/>
            <w:vAlign w:val="bottom"/>
            <w:hideMark/>
          </w:tcPr>
          <w:p w14:paraId="7170E50C"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5610</w:t>
            </w:r>
          </w:p>
        </w:tc>
        <w:tc>
          <w:tcPr>
            <w:tcW w:w="455" w:type="pct"/>
            <w:tcBorders>
              <w:top w:val="single" w:sz="4" w:space="0" w:color="C0C0C0"/>
              <w:left w:val="single" w:sz="4" w:space="0" w:color="C0C0C0"/>
              <w:bottom w:val="single" w:sz="4" w:space="0" w:color="C0C0C0"/>
              <w:right w:val="single" w:sz="4" w:space="0" w:color="C0C0C0"/>
            </w:tcBorders>
            <w:shd w:val="clear" w:color="000000" w:fill="FDD780"/>
            <w:noWrap/>
            <w:vAlign w:val="bottom"/>
            <w:hideMark/>
          </w:tcPr>
          <w:p w14:paraId="130FE3DD"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-2890</w:t>
            </w:r>
          </w:p>
        </w:tc>
        <w:tc>
          <w:tcPr>
            <w:tcW w:w="454" w:type="pct"/>
            <w:tcBorders>
              <w:top w:val="single" w:sz="4" w:space="0" w:color="C0C0C0"/>
              <w:left w:val="single" w:sz="4" w:space="0" w:color="C0C0C0"/>
              <w:bottom w:val="single" w:sz="4" w:space="0" w:color="C0C0C0"/>
              <w:right w:val="single" w:sz="4" w:space="0" w:color="C0C0C0"/>
            </w:tcBorders>
            <w:shd w:val="clear" w:color="000000" w:fill="E7E583"/>
            <w:noWrap/>
            <w:vAlign w:val="bottom"/>
            <w:hideMark/>
          </w:tcPr>
          <w:p w14:paraId="63A55B57"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3260</w:t>
            </w:r>
          </w:p>
        </w:tc>
        <w:tc>
          <w:tcPr>
            <w:tcW w:w="454" w:type="pct"/>
            <w:tcBorders>
              <w:top w:val="single" w:sz="4" w:space="0" w:color="C0C0C0"/>
              <w:left w:val="single" w:sz="4" w:space="0" w:color="C0C0C0"/>
              <w:bottom w:val="single" w:sz="4" w:space="0" w:color="C0C0C0"/>
              <w:right w:val="single" w:sz="4" w:space="0" w:color="C0C0C0"/>
            </w:tcBorders>
            <w:shd w:val="clear" w:color="000000" w:fill="F2E884"/>
            <w:noWrap/>
            <w:vAlign w:val="bottom"/>
            <w:hideMark/>
          </w:tcPr>
          <w:p w14:paraId="59AE1270"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1940</w:t>
            </w:r>
          </w:p>
        </w:tc>
        <w:tc>
          <w:tcPr>
            <w:tcW w:w="455" w:type="pct"/>
            <w:tcBorders>
              <w:top w:val="single" w:sz="4" w:space="0" w:color="C0C0C0"/>
              <w:left w:val="single" w:sz="4" w:space="0" w:color="C0C0C0"/>
              <w:bottom w:val="single" w:sz="4" w:space="0" w:color="C0C0C0"/>
              <w:right w:val="single" w:sz="4" w:space="0" w:color="C0C0C0"/>
            </w:tcBorders>
            <w:shd w:val="clear" w:color="000000" w:fill="EFE784"/>
            <w:noWrap/>
            <w:vAlign w:val="bottom"/>
            <w:hideMark/>
          </w:tcPr>
          <w:p w14:paraId="060639DE"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2300</w:t>
            </w:r>
          </w:p>
        </w:tc>
        <w:tc>
          <w:tcPr>
            <w:tcW w:w="454" w:type="pct"/>
            <w:tcBorders>
              <w:top w:val="single" w:sz="4" w:space="0" w:color="C0C0C0"/>
              <w:left w:val="single" w:sz="4" w:space="0" w:color="C0C0C0"/>
              <w:bottom w:val="single" w:sz="4" w:space="0" w:color="C0C0C0"/>
              <w:right w:val="single" w:sz="4" w:space="0" w:color="C0C0C0"/>
            </w:tcBorders>
            <w:shd w:val="clear" w:color="000000" w:fill="FAEA84"/>
            <w:noWrap/>
            <w:vAlign w:val="bottom"/>
            <w:hideMark/>
          </w:tcPr>
          <w:p w14:paraId="37E6B1B2"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940</w:t>
            </w:r>
          </w:p>
        </w:tc>
        <w:tc>
          <w:tcPr>
            <w:tcW w:w="454" w:type="pct"/>
            <w:tcBorders>
              <w:top w:val="single" w:sz="4" w:space="0" w:color="C0C0C0"/>
              <w:left w:val="single" w:sz="4" w:space="0" w:color="C0C0C0"/>
              <w:bottom w:val="single" w:sz="4" w:space="0" w:color="C0C0C0"/>
              <w:right w:val="single" w:sz="4" w:space="0" w:color="C0C0C0"/>
            </w:tcBorders>
            <w:shd w:val="clear" w:color="000000" w:fill="F7E984"/>
            <w:noWrap/>
            <w:vAlign w:val="bottom"/>
            <w:hideMark/>
          </w:tcPr>
          <w:p w14:paraId="283BCE69"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1320</w:t>
            </w:r>
          </w:p>
        </w:tc>
        <w:tc>
          <w:tcPr>
            <w:tcW w:w="455" w:type="pct"/>
            <w:tcBorders>
              <w:top w:val="single" w:sz="4" w:space="0" w:color="C0C0C0"/>
              <w:left w:val="single" w:sz="4" w:space="0" w:color="C0C0C0"/>
              <w:bottom w:val="single" w:sz="4" w:space="0" w:color="C0C0C0"/>
              <w:right w:val="single" w:sz="4" w:space="0" w:color="C0C0C0"/>
            </w:tcBorders>
            <w:shd w:val="clear" w:color="000000" w:fill="FBEA84"/>
            <w:noWrap/>
            <w:vAlign w:val="bottom"/>
            <w:hideMark/>
          </w:tcPr>
          <w:p w14:paraId="196A5655"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780</w:t>
            </w:r>
          </w:p>
        </w:tc>
        <w:tc>
          <w:tcPr>
            <w:tcW w:w="454" w:type="pct"/>
            <w:tcBorders>
              <w:top w:val="single" w:sz="4" w:space="0" w:color="C0C0C0"/>
              <w:left w:val="single" w:sz="4" w:space="0" w:color="C0C0C0"/>
              <w:bottom w:val="single" w:sz="4" w:space="0" w:color="C0C0C0"/>
              <w:right w:val="single" w:sz="4" w:space="0" w:color="C0C0C0"/>
            </w:tcBorders>
            <w:shd w:val="clear" w:color="000000" w:fill="CADC81"/>
            <w:noWrap/>
            <w:vAlign w:val="bottom"/>
            <w:hideMark/>
          </w:tcPr>
          <w:p w14:paraId="1F7EB999"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6950</w:t>
            </w:r>
          </w:p>
        </w:tc>
        <w:tc>
          <w:tcPr>
            <w:tcW w:w="455" w:type="pct"/>
            <w:tcBorders>
              <w:top w:val="single" w:sz="4" w:space="0" w:color="C0C0C0"/>
              <w:left w:val="single" w:sz="4" w:space="0" w:color="C0C0C0"/>
              <w:bottom w:val="single" w:sz="4" w:space="0" w:color="C0C0C0"/>
              <w:right w:val="single" w:sz="4" w:space="0" w:color="C0C0C0"/>
            </w:tcBorders>
            <w:shd w:val="clear" w:color="000000" w:fill="FDCB7D"/>
            <w:noWrap/>
            <w:vAlign w:val="bottom"/>
            <w:hideMark/>
          </w:tcPr>
          <w:p w14:paraId="5BA2D755" w14:textId="77777777" w:rsidR="00B90332" w:rsidRPr="00F63900" w:rsidRDefault="00B90332" w:rsidP="008F03DF">
            <w:pPr>
              <w:spacing w:before="120" w:after="120" w:line="240" w:lineRule="atLeast"/>
              <w:jc w:val="right"/>
              <w:rPr>
                <w:rFonts w:ascii="Arial" w:eastAsia="Times New Roman" w:hAnsi="Arial" w:cs="Arial"/>
                <w:lang w:eastAsia="en-NZ"/>
              </w:rPr>
            </w:pPr>
            <w:r w:rsidRPr="00F63900">
              <w:rPr>
                <w:rFonts w:ascii="Arial" w:eastAsia="Times New Roman" w:hAnsi="Arial" w:cs="Arial"/>
                <w:lang w:eastAsia="en-NZ"/>
              </w:rPr>
              <w:t>-4930</w:t>
            </w:r>
          </w:p>
        </w:tc>
      </w:tr>
    </w:tbl>
    <w:p w14:paraId="6FEE3D17" w14:textId="35D877FC" w:rsidR="00F829F6" w:rsidRPr="00F63900" w:rsidRDefault="00F829F6" w:rsidP="00F63900">
      <w:pPr>
        <w:pStyle w:val="Heading2"/>
        <w:spacing w:before="120" w:after="120" w:line="240" w:lineRule="auto"/>
        <w:rPr>
          <w:rFonts w:ascii="Arial" w:hAnsi="Arial" w:cs="Arial"/>
          <w:sz w:val="2"/>
          <w:szCs w:val="2"/>
        </w:rPr>
      </w:pPr>
    </w:p>
    <w:sectPr w:rsidR="00F829F6" w:rsidRPr="00F63900" w:rsidSect="00710711">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12ED4" w14:textId="77777777" w:rsidR="00344533" w:rsidRDefault="00344533" w:rsidP="00AF6E4F">
      <w:pPr>
        <w:spacing w:after="0" w:line="240" w:lineRule="auto"/>
      </w:pPr>
      <w:r>
        <w:separator/>
      </w:r>
    </w:p>
  </w:endnote>
  <w:endnote w:type="continuationSeparator" w:id="0">
    <w:p w14:paraId="38B97B17" w14:textId="77777777" w:rsidR="00344533" w:rsidRDefault="00344533" w:rsidP="00AF6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3849624"/>
      <w:docPartObj>
        <w:docPartGallery w:val="Page Numbers (Bottom of Page)"/>
        <w:docPartUnique/>
      </w:docPartObj>
    </w:sdtPr>
    <w:sdtEndPr>
      <w:rPr>
        <w:b/>
        <w:noProof/>
      </w:rPr>
    </w:sdtEndPr>
    <w:sdtContent>
      <w:p w14:paraId="24E31147" w14:textId="4EF1EF83" w:rsidR="00767283" w:rsidRPr="00C5227F" w:rsidRDefault="00767283" w:rsidP="00AF6E4F">
        <w:pPr>
          <w:pStyle w:val="Footer"/>
          <w:jc w:val="center"/>
          <w:rPr>
            <w:b/>
            <w:noProof/>
          </w:rPr>
        </w:pPr>
      </w:p>
      <w:p w14:paraId="361A92A8" w14:textId="37FCD814" w:rsidR="00767283" w:rsidRPr="000E388D" w:rsidRDefault="00767283" w:rsidP="00AF6E4F">
        <w:pPr>
          <w:pStyle w:val="Footer"/>
          <w:jc w:val="right"/>
          <w:rPr>
            <w:noProof/>
          </w:rPr>
        </w:pPr>
        <w:r>
          <w:t xml:space="preserve"> </w:t>
        </w:r>
        <w:r>
          <w:fldChar w:fldCharType="begin"/>
        </w:r>
        <w:r>
          <w:instrText xml:space="preserve"> PAGE   \* MERGEFORMAT </w:instrText>
        </w:r>
        <w:r>
          <w:fldChar w:fldCharType="separate"/>
        </w:r>
        <w:r>
          <w:rPr>
            <w:noProof/>
          </w:rPr>
          <w:t>28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76F110" w14:textId="77777777" w:rsidR="00344533" w:rsidRDefault="00344533" w:rsidP="00AF6E4F">
      <w:pPr>
        <w:spacing w:after="0" w:line="240" w:lineRule="auto"/>
      </w:pPr>
      <w:r>
        <w:separator/>
      </w:r>
    </w:p>
  </w:footnote>
  <w:footnote w:type="continuationSeparator" w:id="0">
    <w:p w14:paraId="7D038CB5" w14:textId="77777777" w:rsidR="00344533" w:rsidRDefault="00344533" w:rsidP="00AF6E4F">
      <w:pPr>
        <w:spacing w:after="0" w:line="240" w:lineRule="auto"/>
      </w:pPr>
      <w:r>
        <w:continuationSeparator/>
      </w:r>
    </w:p>
  </w:footnote>
  <w:footnote w:id="1">
    <w:p w14:paraId="12F394E1" w14:textId="77777777" w:rsidR="00767283" w:rsidRDefault="00767283">
      <w:pPr>
        <w:pStyle w:val="FootnoteText"/>
      </w:pPr>
      <w:r>
        <w:rPr>
          <w:rStyle w:val="FootnoteReference"/>
        </w:rPr>
        <w:footnoteRef/>
      </w:r>
      <w:r>
        <w:t xml:space="preserve"> </w:t>
      </w:r>
      <w:r w:rsidRPr="00CD315B">
        <w:rPr>
          <w:rFonts w:ascii="Arial" w:hAnsi="Arial" w:cs="Arial"/>
          <w:color w:val="414042"/>
          <w:sz w:val="21"/>
          <w:szCs w:val="21"/>
          <w:shd w:val="clear" w:color="auto" w:fill="FFFFFF"/>
        </w:rPr>
        <w:t>PISA measures students’ competencies to participate actively in situations that require maths and reading skills.</w:t>
      </w:r>
    </w:p>
  </w:footnote>
  <w:footnote w:id="2">
    <w:p w14:paraId="34CC0A22" w14:textId="77777777" w:rsidR="00767283" w:rsidRDefault="00767283" w:rsidP="00767283">
      <w:pPr>
        <w:pStyle w:val="FootnoteText"/>
      </w:pPr>
      <w:r>
        <w:rPr>
          <w:rStyle w:val="FootnoteReference"/>
        </w:rPr>
        <w:footnoteRef/>
      </w:r>
      <w:r>
        <w:t xml:space="preserve"> </w:t>
      </w:r>
      <w:r w:rsidRPr="00A33F68">
        <w:rPr>
          <w:rFonts w:ascii="Arial" w:hAnsi="Arial" w:cs="Arial"/>
          <w:sz w:val="21"/>
          <w:szCs w:val="21"/>
          <w:shd w:val="clear" w:color="auto" w:fill="FFFFFF"/>
        </w:rPr>
        <w:t>Students who move school twice or more over the period from the 1st of March to the 1st of November.</w:t>
      </w:r>
    </w:p>
  </w:footnote>
  <w:footnote w:id="3">
    <w:p w14:paraId="25A342EC" w14:textId="77777777" w:rsidR="00767283" w:rsidRDefault="00767283">
      <w:pPr>
        <w:pStyle w:val="FootnoteText"/>
      </w:pPr>
      <w:r>
        <w:rPr>
          <w:rStyle w:val="FootnoteReference"/>
        </w:rPr>
        <w:footnoteRef/>
      </w:r>
      <w:r>
        <w:t xml:space="preserve"> Productivity Commission (2015), </w:t>
      </w:r>
      <w:r w:rsidRPr="00854696">
        <w:rPr>
          <w:i/>
        </w:rPr>
        <w:t>More effective social services</w:t>
      </w:r>
      <w:r>
        <w:t xml:space="preserve">. </w:t>
      </w:r>
      <w:hyperlink r:id="rId1" w:history="1">
        <w:r w:rsidRPr="005F62F2">
          <w:rPr>
            <w:rStyle w:val="Hyperlink"/>
          </w:rPr>
          <w:t>https://www.productivity.govt.nz/assets/Documents/6e7cb6e142/social-services-final-report-summary.pdf</w:t>
        </w:r>
      </w:hyperlink>
      <w:r>
        <w:t xml:space="preserve"> </w:t>
      </w:r>
    </w:p>
  </w:footnote>
  <w:footnote w:id="4">
    <w:p w14:paraId="3F2C259A" w14:textId="21238815" w:rsidR="00767283" w:rsidRDefault="00767283">
      <w:pPr>
        <w:pStyle w:val="FootnoteText"/>
      </w:pPr>
      <w:r>
        <w:rPr>
          <w:rStyle w:val="FootnoteReference"/>
        </w:rPr>
        <w:footnoteRef/>
      </w:r>
      <w:r>
        <w:t xml:space="preserve"> </w:t>
      </w:r>
      <w:r w:rsidRPr="00710711">
        <w:t xml:space="preserve">Youth Service supports young people aged 16 to 17 years and parents aged between 16 and 19 most at risk of long-term benefit receipt into education, </w:t>
      </w:r>
      <w:proofErr w:type="gramStart"/>
      <w:r w:rsidRPr="00710711">
        <w:t>training</w:t>
      </w:r>
      <w:proofErr w:type="gramEnd"/>
      <w:r w:rsidRPr="00710711">
        <w:t xml:space="preserve"> or work-based learning.</w:t>
      </w:r>
    </w:p>
  </w:footnote>
  <w:footnote w:id="5">
    <w:p w14:paraId="7430034D" w14:textId="77777777" w:rsidR="00767283" w:rsidRDefault="00767283">
      <w:pPr>
        <w:pStyle w:val="FootnoteText"/>
      </w:pPr>
      <w:r>
        <w:rPr>
          <w:rStyle w:val="FootnoteReference"/>
        </w:rPr>
        <w:footnoteRef/>
      </w:r>
      <w:r>
        <w:t xml:space="preserve"> Some funding was reallocated as part of Budget 2021. The total amount of funding available to the MTTF is now $30 million</w:t>
      </w:r>
    </w:p>
  </w:footnote>
  <w:footnote w:id="6">
    <w:p w14:paraId="70FB8500" w14:textId="77777777" w:rsidR="00767283" w:rsidRDefault="00767283" w:rsidP="00D86667">
      <w:pPr>
        <w:pStyle w:val="FootnoteText"/>
      </w:pPr>
      <w:r>
        <w:rPr>
          <w:rStyle w:val="FootnoteReference"/>
        </w:rPr>
        <w:footnoteRef/>
      </w:r>
      <w:r>
        <w:t xml:space="preserve"> Using </w:t>
      </w:r>
      <w:proofErr w:type="spellStart"/>
      <w:r>
        <w:t>StatsNZ</w:t>
      </w:r>
      <w:proofErr w:type="spellEnd"/>
      <w:r>
        <w:t xml:space="preserve"> medium scenario population projections, which projects the factors that influence total population, including births, </w:t>
      </w:r>
      <w:proofErr w:type="gramStart"/>
      <w:r>
        <w:t>deaths</w:t>
      </w:r>
      <w:proofErr w:type="gramEnd"/>
      <w:r>
        <w:t xml:space="preserve"> and migration.</w:t>
      </w:r>
    </w:p>
  </w:footnote>
  <w:footnote w:id="7">
    <w:p w14:paraId="7C2A54A5" w14:textId="77777777" w:rsidR="00767283" w:rsidRPr="005F6088" w:rsidRDefault="00767283">
      <w:pPr>
        <w:pStyle w:val="FootnoteText"/>
      </w:pPr>
      <w:r>
        <w:rPr>
          <w:rStyle w:val="FootnoteReference"/>
        </w:rPr>
        <w:footnoteRef/>
      </w:r>
      <w:r>
        <w:t xml:space="preserve"> Prime Ministers Business Advisory Council (2019). </w:t>
      </w:r>
      <w:r>
        <w:rPr>
          <w:i/>
        </w:rPr>
        <w:t xml:space="preserve">A Future that Works: Harnessing automation for a more productive and skilled New Zealand.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FF73D" w14:textId="13E36053" w:rsidR="003B666F" w:rsidRDefault="003B666F">
    <w:pPr>
      <w:pStyle w:val="Header"/>
    </w:pPr>
    <w:r w:rsidRPr="003B666F">
      <w:drawing>
        <wp:anchor distT="0" distB="0" distL="114300" distR="114300" simplePos="0" relativeHeight="251661312" behindDoc="0" locked="0" layoutInCell="1" allowOverlap="1" wp14:anchorId="70570250" wp14:editId="231C0588">
          <wp:simplePos x="0" y="0"/>
          <wp:positionH relativeFrom="column">
            <wp:posOffset>-781050</wp:posOffset>
          </wp:positionH>
          <wp:positionV relativeFrom="paragraph">
            <wp:posOffset>-140970</wp:posOffset>
          </wp:positionV>
          <wp:extent cx="2193290" cy="506730"/>
          <wp:effectExtent l="0" t="0" r="0" b="7620"/>
          <wp:wrapNone/>
          <wp:docPr id="24" name="Picture 9" descr="A picture containing text&#10;&#10;Description automatically generated">
            <a:extLst xmlns:a="http://schemas.openxmlformats.org/drawingml/2006/main">
              <a:ext uri="{FF2B5EF4-FFF2-40B4-BE49-F238E27FC236}">
                <a16:creationId xmlns:a16="http://schemas.microsoft.com/office/drawing/2014/main" id="{07D44DF3-FE5D-49A6-AEFB-1EFCE2B86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10;&#10;Description automatically generated">
                    <a:extLst>
                      <a:ext uri="{FF2B5EF4-FFF2-40B4-BE49-F238E27FC236}">
                        <a16:creationId xmlns:a16="http://schemas.microsoft.com/office/drawing/2014/main" id="{07D44DF3-FE5D-49A6-AEFB-1EFCE2B86DD8}"/>
                      </a:ext>
                    </a:extLst>
                  </pic:cNvPr>
                  <pic:cNvPicPr>
                    <a:picLocks noChangeAspect="1"/>
                  </pic:cNvPicPr>
                </pic:nvPicPr>
                <pic:blipFill>
                  <a:blip r:embed="rId1">
                    <a:extLst>
                      <a:ext uri="{BEBA8EAE-BF5A-486C-A8C5-ECC9F3942E4B}">
                        <a14:imgProps xmlns:a14="http://schemas.microsoft.com/office/drawing/2010/main">
                          <a14:imgLayer r:embed="rId2">
                            <a14:imgEffect>
                              <a14:saturation sat="0"/>
                            </a14:imgEffect>
                            <a14:imgEffect>
                              <a14:brightnessContrast contrast="40000"/>
                            </a14:imgEffect>
                          </a14:imgLayer>
                        </a14:imgProps>
                      </a:ext>
                    </a:extLst>
                  </a:blip>
                  <a:stretch>
                    <a:fillRect/>
                  </a:stretch>
                </pic:blipFill>
                <pic:spPr>
                  <a:xfrm>
                    <a:off x="0" y="0"/>
                    <a:ext cx="2193290" cy="506730"/>
                  </a:xfrm>
                  <a:prstGeom prst="rect">
                    <a:avLst/>
                  </a:prstGeom>
                </pic:spPr>
              </pic:pic>
            </a:graphicData>
          </a:graphic>
        </wp:anchor>
      </w:drawing>
    </w:r>
    <w:r w:rsidRPr="003B666F">
      <w:drawing>
        <wp:anchor distT="0" distB="0" distL="114300" distR="114300" simplePos="0" relativeHeight="251660288" behindDoc="0" locked="0" layoutInCell="1" allowOverlap="1" wp14:anchorId="054AD53A" wp14:editId="1A6EAE28">
          <wp:simplePos x="0" y="0"/>
          <wp:positionH relativeFrom="column">
            <wp:posOffset>1708785</wp:posOffset>
          </wp:positionH>
          <wp:positionV relativeFrom="paragraph">
            <wp:posOffset>-419735</wp:posOffset>
          </wp:positionV>
          <wp:extent cx="1938655" cy="926465"/>
          <wp:effectExtent l="0" t="0" r="4445" b="6985"/>
          <wp:wrapNone/>
          <wp:docPr id="17" name="Picture 7" descr="A picture containing text&#10;&#10;Description automatically generated">
            <a:extLst xmlns:a="http://schemas.openxmlformats.org/drawingml/2006/main">
              <a:ext uri="{FF2B5EF4-FFF2-40B4-BE49-F238E27FC236}">
                <a16:creationId xmlns:a16="http://schemas.microsoft.com/office/drawing/2014/main" id="{FF36E5C0-9D99-4BD8-B3CF-21162AEB5D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text&#10;&#10;Description automatically generated">
                    <a:extLst>
                      <a:ext uri="{FF2B5EF4-FFF2-40B4-BE49-F238E27FC236}">
                        <a16:creationId xmlns:a16="http://schemas.microsoft.com/office/drawing/2014/main" id="{FF36E5C0-9D99-4BD8-B3CF-21162AEB5D85}"/>
                      </a:ext>
                    </a:extLst>
                  </pic:cNvPr>
                  <pic:cNvPicPr>
                    <a:picLocks noChangeAspect="1"/>
                  </pic:cNvPicPr>
                </pic:nvPicPr>
                <pic:blipFill>
                  <a:blip r:embed="rId3"/>
                  <a:stretch>
                    <a:fillRect/>
                  </a:stretch>
                </pic:blipFill>
                <pic:spPr>
                  <a:xfrm>
                    <a:off x="0" y="0"/>
                    <a:ext cx="1938655" cy="926465"/>
                  </a:xfrm>
                  <a:prstGeom prst="rect">
                    <a:avLst/>
                  </a:prstGeom>
                </pic:spPr>
              </pic:pic>
            </a:graphicData>
          </a:graphic>
        </wp:anchor>
      </w:drawing>
    </w:r>
    <w:r w:rsidRPr="003B666F">
      <w:drawing>
        <wp:anchor distT="0" distB="0" distL="114300" distR="114300" simplePos="0" relativeHeight="251659264" behindDoc="0" locked="0" layoutInCell="1" allowOverlap="1" wp14:anchorId="793390B2" wp14:editId="60C1A6EE">
          <wp:simplePos x="0" y="0"/>
          <wp:positionH relativeFrom="column">
            <wp:posOffset>4010025</wp:posOffset>
          </wp:positionH>
          <wp:positionV relativeFrom="paragraph">
            <wp:posOffset>-190500</wp:posOffset>
          </wp:positionV>
          <wp:extent cx="2493010" cy="523240"/>
          <wp:effectExtent l="0" t="0" r="2540" b="0"/>
          <wp:wrapNone/>
          <wp:docPr id="16" name="Picture 8" descr="Text, letter&#10;&#10;Description automatically generated">
            <a:extLst xmlns:a="http://schemas.openxmlformats.org/drawingml/2006/main">
              <a:ext uri="{FF2B5EF4-FFF2-40B4-BE49-F238E27FC236}">
                <a16:creationId xmlns:a16="http://schemas.microsoft.com/office/drawing/2014/main" id="{BBCB0A1A-653E-43FD-8BDD-4365A5120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ext, letter&#10;&#10;Description automatically generated">
                    <a:extLst>
                      <a:ext uri="{FF2B5EF4-FFF2-40B4-BE49-F238E27FC236}">
                        <a16:creationId xmlns:a16="http://schemas.microsoft.com/office/drawing/2014/main" id="{BBCB0A1A-653E-43FD-8BDD-4365A5120A38}"/>
                      </a:ext>
                    </a:extLst>
                  </pic:cNvPr>
                  <pic:cNvPicPr>
                    <a:picLocks noChangeAspect="1"/>
                  </pic:cNvPicPr>
                </pic:nvPicPr>
                <pic:blipFill rotWithShape="1">
                  <a:blip r:embed="rId4">
                    <a:extLst>
                      <a:ext uri="{BEBA8EAE-BF5A-486C-A8C5-ECC9F3942E4B}">
                        <a14:imgProps xmlns:a14="http://schemas.microsoft.com/office/drawing/2010/main">
                          <a14:imgLayer r:embed="rId5">
                            <a14:imgEffect>
                              <a14:brightnessContrast contrast="40000"/>
                            </a14:imgEffect>
                          </a14:imgLayer>
                        </a14:imgProps>
                      </a:ext>
                    </a:extLst>
                  </a:blip>
                  <a:srcRect l="6778" t="34356" r="6667" b="36570"/>
                  <a:stretch/>
                </pic:blipFill>
                <pic:spPr>
                  <a:xfrm>
                    <a:off x="0" y="0"/>
                    <a:ext cx="2493010" cy="5232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AC4F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2C5F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B03C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FA9F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4ED6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1806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6E08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844FC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DAA9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B063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A6386F"/>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B4B6EC5"/>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18D00F0"/>
    <w:multiLevelType w:val="hybridMultilevel"/>
    <w:tmpl w:val="F3640996"/>
    <w:lvl w:ilvl="0" w:tplc="0726C1B6">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3E7DCF"/>
    <w:multiLevelType w:val="hybridMultilevel"/>
    <w:tmpl w:val="FFD068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 w15:restartNumberingAfterBreak="0">
    <w:nsid w:val="13B076B8"/>
    <w:multiLevelType w:val="multilevel"/>
    <w:tmpl w:val="62724098"/>
    <w:lvl w:ilvl="0">
      <w:start w:val="1"/>
      <w:numFmt w:val="upperRoman"/>
      <w:lvlText w:val="Article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40405B7"/>
    <w:multiLevelType w:val="hybridMultilevel"/>
    <w:tmpl w:val="6714CDE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5836878"/>
    <w:multiLevelType w:val="hybridMultilevel"/>
    <w:tmpl w:val="063C6C84"/>
    <w:lvl w:ilvl="0" w:tplc="D6A286EE">
      <w:start w:val="1"/>
      <w:numFmt w:val="decimal"/>
      <w:lvlText w:val="%1."/>
      <w:lvlJc w:val="left"/>
      <w:pPr>
        <w:ind w:left="720" w:hanging="360"/>
      </w:pPr>
      <w:rPr>
        <w:rFonts w:hint="default"/>
        <w:b w:val="0"/>
      </w:rPr>
    </w:lvl>
    <w:lvl w:ilvl="1" w:tplc="5E1CCB92">
      <w:start w:val="1"/>
      <w:numFmt w:val="lowerLetter"/>
      <w:lvlText w:val="%2."/>
      <w:lvlJc w:val="left"/>
      <w:pPr>
        <w:ind w:left="1440" w:hanging="360"/>
      </w:pPr>
      <w:rPr>
        <w:b w:val="0"/>
        <w:sz w:val="24"/>
      </w:rPr>
    </w:lvl>
    <w:lvl w:ilvl="2" w:tplc="E72650F8">
      <w:start w:val="1"/>
      <w:numFmt w:val="lowerRoman"/>
      <w:lvlText w:val="%3."/>
      <w:lvlJc w:val="right"/>
      <w:pPr>
        <w:ind w:left="2160" w:hanging="180"/>
      </w:pPr>
      <w:rPr>
        <w:b w:val="0"/>
      </w:r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8" w15:restartNumberingAfterBreak="0">
    <w:nsid w:val="1AC6422A"/>
    <w:multiLevelType w:val="hybridMultilevel"/>
    <w:tmpl w:val="0728E2FE"/>
    <w:lvl w:ilvl="0" w:tplc="14090001">
      <w:start w:val="1"/>
      <w:numFmt w:val="bullet"/>
      <w:lvlText w:val=""/>
      <w:lvlJc w:val="left"/>
      <w:pPr>
        <w:ind w:left="1080" w:hanging="360"/>
      </w:pPr>
      <w:rPr>
        <w:rFonts w:ascii="Symbol" w:hAnsi="Symbol" w:hint="default"/>
        <w:b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1C1B7203"/>
    <w:multiLevelType w:val="hybridMultilevel"/>
    <w:tmpl w:val="D0DAC7B6"/>
    <w:lvl w:ilvl="0" w:tplc="D6A286EE">
      <w:start w:val="1"/>
      <w:numFmt w:val="decimal"/>
      <w:lvlText w:val="%1."/>
      <w:lvlJc w:val="left"/>
      <w:pPr>
        <w:ind w:left="720" w:hanging="360"/>
      </w:pPr>
      <w:rPr>
        <w:rFonts w:hint="default"/>
        <w:b w:val="0"/>
      </w:rPr>
    </w:lvl>
    <w:lvl w:ilvl="1" w:tplc="5E1CCB92">
      <w:start w:val="1"/>
      <w:numFmt w:val="lowerLetter"/>
      <w:lvlText w:val="%2."/>
      <w:lvlJc w:val="left"/>
      <w:pPr>
        <w:ind w:left="1440" w:hanging="360"/>
      </w:pPr>
      <w:rPr>
        <w:b w:val="0"/>
        <w:sz w:val="24"/>
      </w:rPr>
    </w:lvl>
    <w:lvl w:ilvl="2" w:tplc="E72650F8">
      <w:start w:val="1"/>
      <w:numFmt w:val="lowerRoman"/>
      <w:lvlText w:val="%3."/>
      <w:lvlJc w:val="right"/>
      <w:pPr>
        <w:ind w:left="2160" w:hanging="180"/>
      </w:pPr>
      <w:rPr>
        <w:b w:val="0"/>
      </w:r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225A218E"/>
    <w:multiLevelType w:val="hybridMultilevel"/>
    <w:tmpl w:val="D6563856"/>
    <w:lvl w:ilvl="0" w:tplc="5E1CCB92">
      <w:start w:val="1"/>
      <w:numFmt w:val="lowerLetter"/>
      <w:lvlText w:val="%1."/>
      <w:lvlJc w:val="left"/>
      <w:pPr>
        <w:ind w:left="1440" w:hanging="360"/>
      </w:pPr>
      <w:rPr>
        <w:b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233D0F68"/>
    <w:multiLevelType w:val="hybridMultilevel"/>
    <w:tmpl w:val="8B8E395A"/>
    <w:lvl w:ilvl="0" w:tplc="14090001">
      <w:start w:val="1"/>
      <w:numFmt w:val="bullet"/>
      <w:lvlText w:val=""/>
      <w:lvlJc w:val="left"/>
      <w:pPr>
        <w:ind w:left="720" w:hanging="360"/>
      </w:pPr>
      <w:rPr>
        <w:rFonts w:ascii="Symbol" w:hAnsi="Symbol"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C127A25"/>
    <w:multiLevelType w:val="hybridMultilevel"/>
    <w:tmpl w:val="22AC97CA"/>
    <w:lvl w:ilvl="0" w:tplc="BFA49D0A">
      <w:numFmt w:val="bullet"/>
      <w:lvlText w:val="-"/>
      <w:lvlJc w:val="left"/>
      <w:pPr>
        <w:ind w:left="720" w:hanging="360"/>
      </w:pPr>
      <w:rPr>
        <w:rFonts w:ascii="Calibri" w:eastAsia="Calibr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3" w15:restartNumberingAfterBreak="0">
    <w:nsid w:val="2D0857AA"/>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E022DC5"/>
    <w:multiLevelType w:val="multilevel"/>
    <w:tmpl w:val="3328DC6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3"/>
      <w:lvlJc w:val="left"/>
      <w:pPr>
        <w:ind w:left="1440" w:hanging="360"/>
      </w:pPr>
      <w:rPr>
        <w:rFonts w:hint="default"/>
      </w:rPr>
    </w:lvl>
    <w:lvl w:ilvl="4">
      <w:start w:val="1"/>
      <w:numFmt w:val="decimal"/>
      <w:lvlText w:val="%5.%4"/>
      <w:lvlJc w:val="left"/>
      <w:pPr>
        <w:ind w:left="1800" w:hanging="360"/>
      </w:pPr>
      <w:rPr>
        <w:rFonts w:hint="default"/>
      </w:rPr>
    </w:lvl>
    <w:lvl w:ilvl="5">
      <w:start w:val="1"/>
      <w:numFmt w:val="decimal"/>
      <w:lvlText w:val="%6.%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25" w15:restartNumberingAfterBreak="0">
    <w:nsid w:val="2F842092"/>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3962F1D"/>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4282360"/>
    <w:multiLevelType w:val="hybridMultilevel"/>
    <w:tmpl w:val="994EAE80"/>
    <w:lvl w:ilvl="0" w:tplc="E8BC270A">
      <w:start w:val="1"/>
      <w:numFmt w:val="bullet"/>
      <w:lvlText w:val="•"/>
      <w:lvlJc w:val="left"/>
      <w:pPr>
        <w:tabs>
          <w:tab w:val="num" w:pos="720"/>
        </w:tabs>
        <w:ind w:left="720" w:hanging="360"/>
      </w:pPr>
      <w:rPr>
        <w:rFonts w:ascii="Arial" w:hAnsi="Arial" w:hint="default"/>
      </w:rPr>
    </w:lvl>
    <w:lvl w:ilvl="1" w:tplc="37680124">
      <w:start w:val="1"/>
      <w:numFmt w:val="bullet"/>
      <w:lvlText w:val="•"/>
      <w:lvlJc w:val="left"/>
      <w:pPr>
        <w:tabs>
          <w:tab w:val="num" w:pos="1440"/>
        </w:tabs>
        <w:ind w:left="1440" w:hanging="360"/>
      </w:pPr>
      <w:rPr>
        <w:rFonts w:ascii="Arial" w:hAnsi="Arial" w:hint="default"/>
      </w:rPr>
    </w:lvl>
    <w:lvl w:ilvl="2" w:tplc="26FE5C4E" w:tentative="1">
      <w:start w:val="1"/>
      <w:numFmt w:val="bullet"/>
      <w:lvlText w:val="•"/>
      <w:lvlJc w:val="left"/>
      <w:pPr>
        <w:tabs>
          <w:tab w:val="num" w:pos="2160"/>
        </w:tabs>
        <w:ind w:left="2160" w:hanging="360"/>
      </w:pPr>
      <w:rPr>
        <w:rFonts w:ascii="Arial" w:hAnsi="Arial" w:hint="default"/>
      </w:rPr>
    </w:lvl>
    <w:lvl w:ilvl="3" w:tplc="A558C4AE" w:tentative="1">
      <w:start w:val="1"/>
      <w:numFmt w:val="bullet"/>
      <w:lvlText w:val="•"/>
      <w:lvlJc w:val="left"/>
      <w:pPr>
        <w:tabs>
          <w:tab w:val="num" w:pos="2880"/>
        </w:tabs>
        <w:ind w:left="2880" w:hanging="360"/>
      </w:pPr>
      <w:rPr>
        <w:rFonts w:ascii="Arial" w:hAnsi="Arial" w:hint="default"/>
      </w:rPr>
    </w:lvl>
    <w:lvl w:ilvl="4" w:tplc="D9287E38" w:tentative="1">
      <w:start w:val="1"/>
      <w:numFmt w:val="bullet"/>
      <w:lvlText w:val="•"/>
      <w:lvlJc w:val="left"/>
      <w:pPr>
        <w:tabs>
          <w:tab w:val="num" w:pos="3600"/>
        </w:tabs>
        <w:ind w:left="3600" w:hanging="360"/>
      </w:pPr>
      <w:rPr>
        <w:rFonts w:ascii="Arial" w:hAnsi="Arial" w:hint="default"/>
      </w:rPr>
    </w:lvl>
    <w:lvl w:ilvl="5" w:tplc="C542234E" w:tentative="1">
      <w:start w:val="1"/>
      <w:numFmt w:val="bullet"/>
      <w:lvlText w:val="•"/>
      <w:lvlJc w:val="left"/>
      <w:pPr>
        <w:tabs>
          <w:tab w:val="num" w:pos="4320"/>
        </w:tabs>
        <w:ind w:left="4320" w:hanging="360"/>
      </w:pPr>
      <w:rPr>
        <w:rFonts w:ascii="Arial" w:hAnsi="Arial" w:hint="default"/>
      </w:rPr>
    </w:lvl>
    <w:lvl w:ilvl="6" w:tplc="BD40BDB6" w:tentative="1">
      <w:start w:val="1"/>
      <w:numFmt w:val="bullet"/>
      <w:lvlText w:val="•"/>
      <w:lvlJc w:val="left"/>
      <w:pPr>
        <w:tabs>
          <w:tab w:val="num" w:pos="5040"/>
        </w:tabs>
        <w:ind w:left="5040" w:hanging="360"/>
      </w:pPr>
      <w:rPr>
        <w:rFonts w:ascii="Arial" w:hAnsi="Arial" w:hint="default"/>
      </w:rPr>
    </w:lvl>
    <w:lvl w:ilvl="7" w:tplc="85769C1E" w:tentative="1">
      <w:start w:val="1"/>
      <w:numFmt w:val="bullet"/>
      <w:lvlText w:val="•"/>
      <w:lvlJc w:val="left"/>
      <w:pPr>
        <w:tabs>
          <w:tab w:val="num" w:pos="5760"/>
        </w:tabs>
        <w:ind w:left="5760" w:hanging="360"/>
      </w:pPr>
      <w:rPr>
        <w:rFonts w:ascii="Arial" w:hAnsi="Arial" w:hint="default"/>
      </w:rPr>
    </w:lvl>
    <w:lvl w:ilvl="8" w:tplc="AFE8F2F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53D302B"/>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140002A"/>
    <w:multiLevelType w:val="hybridMultilevel"/>
    <w:tmpl w:val="FB9668F8"/>
    <w:lvl w:ilvl="0" w:tplc="C8EEFE80">
      <w:start w:val="204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C743A1E"/>
    <w:multiLevelType w:val="hybridMultilevel"/>
    <w:tmpl w:val="C0E80DB4"/>
    <w:lvl w:ilvl="0" w:tplc="7A768DBC">
      <w:start w:val="1"/>
      <w:numFmt w:val="lowerLetter"/>
      <w:lvlText w:val="%1."/>
      <w:lvlJc w:val="left"/>
      <w:pPr>
        <w:ind w:left="144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0650345"/>
    <w:multiLevelType w:val="hybridMultilevel"/>
    <w:tmpl w:val="3A148814"/>
    <w:lvl w:ilvl="0" w:tplc="C75A5DA0">
      <w:start w:val="1"/>
      <w:numFmt w:val="bullet"/>
      <w:pStyle w:val="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6151B61"/>
    <w:multiLevelType w:val="hybridMultilevel"/>
    <w:tmpl w:val="E1029DA4"/>
    <w:lvl w:ilvl="0" w:tplc="3D44D7D6">
      <w:numFmt w:val="bullet"/>
      <w:lvlText w:val="-"/>
      <w:lvlJc w:val="left"/>
      <w:pPr>
        <w:ind w:left="1080" w:hanging="360"/>
      </w:pPr>
      <w:rPr>
        <w:rFonts w:ascii="Calibri" w:eastAsiaTheme="minorHAnsi"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3" w15:restartNumberingAfterBreak="0">
    <w:nsid w:val="56C34F96"/>
    <w:multiLevelType w:val="hybridMultilevel"/>
    <w:tmpl w:val="3156FEC4"/>
    <w:lvl w:ilvl="0" w:tplc="81F61918">
      <w:start w:val="204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A2F135C"/>
    <w:multiLevelType w:val="hybridMultilevel"/>
    <w:tmpl w:val="7F926FF8"/>
    <w:lvl w:ilvl="0" w:tplc="F9AE47FA">
      <w:start w:val="1"/>
      <w:numFmt w:val="bullet"/>
      <w:lvlText w:val=""/>
      <w:lvlJc w:val="left"/>
      <w:pPr>
        <w:tabs>
          <w:tab w:val="num" w:pos="504"/>
        </w:tabs>
        <w:ind w:left="567" w:hanging="567"/>
      </w:pPr>
      <w:rPr>
        <w:rFonts w:ascii="Symbol" w:hAnsi="Symbol" w:hint="default"/>
      </w:rPr>
    </w:lvl>
    <w:lvl w:ilvl="1" w:tplc="04090003">
      <w:start w:val="1"/>
      <w:numFmt w:val="decimal"/>
      <w:lvlText w:val="%2."/>
      <w:lvlJc w:val="left"/>
      <w:pPr>
        <w:tabs>
          <w:tab w:val="num" w:pos="453"/>
        </w:tabs>
        <w:ind w:left="453" w:hanging="360"/>
      </w:pPr>
    </w:lvl>
    <w:lvl w:ilvl="2" w:tplc="04090005">
      <w:start w:val="1"/>
      <w:numFmt w:val="decimal"/>
      <w:lvlText w:val="%3."/>
      <w:lvlJc w:val="left"/>
      <w:pPr>
        <w:tabs>
          <w:tab w:val="num" w:pos="1173"/>
        </w:tabs>
        <w:ind w:left="1173" w:hanging="360"/>
      </w:pPr>
    </w:lvl>
    <w:lvl w:ilvl="3" w:tplc="04090001">
      <w:start w:val="1"/>
      <w:numFmt w:val="decimal"/>
      <w:lvlText w:val="%4."/>
      <w:lvlJc w:val="left"/>
      <w:pPr>
        <w:tabs>
          <w:tab w:val="num" w:pos="1893"/>
        </w:tabs>
        <w:ind w:left="1893" w:hanging="360"/>
      </w:pPr>
    </w:lvl>
    <w:lvl w:ilvl="4" w:tplc="04090003">
      <w:start w:val="1"/>
      <w:numFmt w:val="decimal"/>
      <w:lvlText w:val="%5."/>
      <w:lvlJc w:val="left"/>
      <w:pPr>
        <w:tabs>
          <w:tab w:val="num" w:pos="2613"/>
        </w:tabs>
        <w:ind w:left="2613" w:hanging="360"/>
      </w:pPr>
    </w:lvl>
    <w:lvl w:ilvl="5" w:tplc="04090005">
      <w:start w:val="1"/>
      <w:numFmt w:val="decimal"/>
      <w:lvlText w:val="%6."/>
      <w:lvlJc w:val="left"/>
      <w:pPr>
        <w:tabs>
          <w:tab w:val="num" w:pos="3333"/>
        </w:tabs>
        <w:ind w:left="3333" w:hanging="360"/>
      </w:pPr>
    </w:lvl>
    <w:lvl w:ilvl="6" w:tplc="04090001">
      <w:start w:val="1"/>
      <w:numFmt w:val="decimal"/>
      <w:lvlText w:val="%7."/>
      <w:lvlJc w:val="left"/>
      <w:pPr>
        <w:tabs>
          <w:tab w:val="num" w:pos="4053"/>
        </w:tabs>
        <w:ind w:left="4053" w:hanging="360"/>
      </w:pPr>
    </w:lvl>
    <w:lvl w:ilvl="7" w:tplc="04090003">
      <w:start w:val="1"/>
      <w:numFmt w:val="decimal"/>
      <w:lvlText w:val="%8."/>
      <w:lvlJc w:val="left"/>
      <w:pPr>
        <w:tabs>
          <w:tab w:val="num" w:pos="4773"/>
        </w:tabs>
        <w:ind w:left="4773" w:hanging="360"/>
      </w:pPr>
    </w:lvl>
    <w:lvl w:ilvl="8" w:tplc="04090005">
      <w:start w:val="1"/>
      <w:numFmt w:val="decimal"/>
      <w:lvlText w:val="%9."/>
      <w:lvlJc w:val="left"/>
      <w:pPr>
        <w:tabs>
          <w:tab w:val="num" w:pos="5493"/>
        </w:tabs>
        <w:ind w:left="5493" w:hanging="360"/>
      </w:pPr>
    </w:lvl>
  </w:abstractNum>
  <w:abstractNum w:abstractNumId="35" w15:restartNumberingAfterBreak="0">
    <w:nsid w:val="5ADA139A"/>
    <w:multiLevelType w:val="hybridMultilevel"/>
    <w:tmpl w:val="762AA4D0"/>
    <w:lvl w:ilvl="0" w:tplc="6C44E3BC">
      <w:start w:val="1"/>
      <w:numFmt w:val="bullet"/>
      <w:lvlText w:val=""/>
      <w:lvlJc w:val="left"/>
      <w:pPr>
        <w:tabs>
          <w:tab w:val="num" w:pos="1134"/>
        </w:tabs>
        <w:ind w:left="1134" w:hanging="567"/>
      </w:pPr>
      <w:rPr>
        <w:rFonts w:ascii="Symbol" w:hAnsi="Symbol" w:hint="default"/>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A2185D"/>
    <w:multiLevelType w:val="multilevel"/>
    <w:tmpl w:val="1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5C6A22C0"/>
    <w:multiLevelType w:val="hybridMultilevel"/>
    <w:tmpl w:val="D6563856"/>
    <w:lvl w:ilvl="0" w:tplc="5E1CCB92">
      <w:start w:val="1"/>
      <w:numFmt w:val="lowerLetter"/>
      <w:lvlText w:val="%1."/>
      <w:lvlJc w:val="left"/>
      <w:pPr>
        <w:ind w:left="1440" w:hanging="360"/>
      </w:pPr>
      <w:rPr>
        <w:b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642F27B9"/>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43063FE"/>
    <w:multiLevelType w:val="hybridMultilevel"/>
    <w:tmpl w:val="8A429224"/>
    <w:lvl w:ilvl="0" w:tplc="D99CE7F8">
      <w:start w:val="1"/>
      <w:numFmt w:val="bullet"/>
      <w:lvlText w:val="-"/>
      <w:lvlJc w:val="left"/>
      <w:pPr>
        <w:tabs>
          <w:tab w:val="num" w:pos="720"/>
        </w:tabs>
        <w:ind w:left="720" w:hanging="360"/>
      </w:pPr>
      <w:rPr>
        <w:rFonts w:ascii="Times New Roman" w:hAnsi="Times New Roman" w:hint="default"/>
      </w:rPr>
    </w:lvl>
    <w:lvl w:ilvl="1" w:tplc="9AEE2C76" w:tentative="1">
      <w:start w:val="1"/>
      <w:numFmt w:val="bullet"/>
      <w:lvlText w:val="-"/>
      <w:lvlJc w:val="left"/>
      <w:pPr>
        <w:tabs>
          <w:tab w:val="num" w:pos="1440"/>
        </w:tabs>
        <w:ind w:left="1440" w:hanging="360"/>
      </w:pPr>
      <w:rPr>
        <w:rFonts w:ascii="Times New Roman" w:hAnsi="Times New Roman" w:hint="default"/>
      </w:rPr>
    </w:lvl>
    <w:lvl w:ilvl="2" w:tplc="340610E2" w:tentative="1">
      <w:start w:val="1"/>
      <w:numFmt w:val="bullet"/>
      <w:lvlText w:val="-"/>
      <w:lvlJc w:val="left"/>
      <w:pPr>
        <w:tabs>
          <w:tab w:val="num" w:pos="2160"/>
        </w:tabs>
        <w:ind w:left="2160" w:hanging="360"/>
      </w:pPr>
      <w:rPr>
        <w:rFonts w:ascii="Times New Roman" w:hAnsi="Times New Roman" w:hint="default"/>
      </w:rPr>
    </w:lvl>
    <w:lvl w:ilvl="3" w:tplc="FBD6F0E6" w:tentative="1">
      <w:start w:val="1"/>
      <w:numFmt w:val="bullet"/>
      <w:lvlText w:val="-"/>
      <w:lvlJc w:val="left"/>
      <w:pPr>
        <w:tabs>
          <w:tab w:val="num" w:pos="2880"/>
        </w:tabs>
        <w:ind w:left="2880" w:hanging="360"/>
      </w:pPr>
      <w:rPr>
        <w:rFonts w:ascii="Times New Roman" w:hAnsi="Times New Roman" w:hint="default"/>
      </w:rPr>
    </w:lvl>
    <w:lvl w:ilvl="4" w:tplc="58E23B7A" w:tentative="1">
      <w:start w:val="1"/>
      <w:numFmt w:val="bullet"/>
      <w:lvlText w:val="-"/>
      <w:lvlJc w:val="left"/>
      <w:pPr>
        <w:tabs>
          <w:tab w:val="num" w:pos="3600"/>
        </w:tabs>
        <w:ind w:left="3600" w:hanging="360"/>
      </w:pPr>
      <w:rPr>
        <w:rFonts w:ascii="Times New Roman" w:hAnsi="Times New Roman" w:hint="default"/>
      </w:rPr>
    </w:lvl>
    <w:lvl w:ilvl="5" w:tplc="346C976E" w:tentative="1">
      <w:start w:val="1"/>
      <w:numFmt w:val="bullet"/>
      <w:lvlText w:val="-"/>
      <w:lvlJc w:val="left"/>
      <w:pPr>
        <w:tabs>
          <w:tab w:val="num" w:pos="4320"/>
        </w:tabs>
        <w:ind w:left="4320" w:hanging="360"/>
      </w:pPr>
      <w:rPr>
        <w:rFonts w:ascii="Times New Roman" w:hAnsi="Times New Roman" w:hint="default"/>
      </w:rPr>
    </w:lvl>
    <w:lvl w:ilvl="6" w:tplc="BDD2B4BC" w:tentative="1">
      <w:start w:val="1"/>
      <w:numFmt w:val="bullet"/>
      <w:lvlText w:val="-"/>
      <w:lvlJc w:val="left"/>
      <w:pPr>
        <w:tabs>
          <w:tab w:val="num" w:pos="5040"/>
        </w:tabs>
        <w:ind w:left="5040" w:hanging="360"/>
      </w:pPr>
      <w:rPr>
        <w:rFonts w:ascii="Times New Roman" w:hAnsi="Times New Roman" w:hint="default"/>
      </w:rPr>
    </w:lvl>
    <w:lvl w:ilvl="7" w:tplc="0F602164" w:tentative="1">
      <w:start w:val="1"/>
      <w:numFmt w:val="bullet"/>
      <w:lvlText w:val="-"/>
      <w:lvlJc w:val="left"/>
      <w:pPr>
        <w:tabs>
          <w:tab w:val="num" w:pos="5760"/>
        </w:tabs>
        <w:ind w:left="5760" w:hanging="360"/>
      </w:pPr>
      <w:rPr>
        <w:rFonts w:ascii="Times New Roman" w:hAnsi="Times New Roman" w:hint="default"/>
      </w:rPr>
    </w:lvl>
    <w:lvl w:ilvl="8" w:tplc="67BAB204"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3375C96"/>
    <w:multiLevelType w:val="multilevel"/>
    <w:tmpl w:val="1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750D3692"/>
    <w:multiLevelType w:val="hybridMultilevel"/>
    <w:tmpl w:val="9AD2F746"/>
    <w:lvl w:ilvl="0" w:tplc="822A0EC2">
      <w:numFmt w:val="bullet"/>
      <w:lvlText w:val=""/>
      <w:lvlJc w:val="left"/>
      <w:pPr>
        <w:ind w:left="720" w:hanging="360"/>
      </w:pPr>
      <w:rPr>
        <w:rFonts w:ascii="Symbol" w:eastAsia="Calibri" w:hAnsi="Symbol" w:cs="Times New Roman"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2" w15:restartNumberingAfterBreak="0">
    <w:nsid w:val="75836A96"/>
    <w:multiLevelType w:val="multilevel"/>
    <w:tmpl w:val="1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7C2E4F0E"/>
    <w:multiLevelType w:val="hybridMultilevel"/>
    <w:tmpl w:val="149862B4"/>
    <w:lvl w:ilvl="0" w:tplc="14090001">
      <w:start w:val="1"/>
      <w:numFmt w:val="bullet"/>
      <w:lvlText w:val=""/>
      <w:lvlJc w:val="left"/>
      <w:pPr>
        <w:ind w:left="720" w:hanging="360"/>
      </w:pPr>
      <w:rPr>
        <w:rFonts w:ascii="Symbol" w:hAnsi="Symbol" w:hint="default"/>
        <w:b w:val="0"/>
      </w:rPr>
    </w:lvl>
    <w:lvl w:ilvl="1" w:tplc="7A768DBC">
      <w:start w:val="1"/>
      <w:numFmt w:val="lowerLetter"/>
      <w:lvlText w:val="%2."/>
      <w:lvlJc w:val="left"/>
      <w:pPr>
        <w:ind w:left="1440" w:hanging="360"/>
      </w:pPr>
      <w:rPr>
        <w:b w:val="0"/>
      </w:rPr>
    </w:lvl>
    <w:lvl w:ilvl="2" w:tplc="E72650F8">
      <w:start w:val="1"/>
      <w:numFmt w:val="lowerRoman"/>
      <w:lvlText w:val="%3."/>
      <w:lvlJc w:val="right"/>
      <w:pPr>
        <w:ind w:left="2160" w:hanging="180"/>
      </w:pPr>
      <w:rPr>
        <w:b w:val="0"/>
      </w:r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24"/>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9"/>
  </w:num>
  <w:num w:numId="6">
    <w:abstractNumId w:val="7"/>
  </w:num>
  <w:num w:numId="7">
    <w:abstractNumId w:val="35"/>
  </w:num>
  <w:num w:numId="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2"/>
  </w:num>
  <w:num w:numId="11">
    <w:abstractNumId w:val="12"/>
  </w:num>
  <w:num w:numId="12">
    <w:abstractNumId w:val="9"/>
  </w:num>
  <w:num w:numId="13">
    <w:abstractNumId w:val="10"/>
  </w:num>
  <w:num w:numId="14">
    <w:abstractNumId w:val="28"/>
  </w:num>
  <w:num w:numId="15">
    <w:abstractNumId w:val="14"/>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3"/>
  </w:num>
  <w:num w:numId="25">
    <w:abstractNumId w:val="38"/>
  </w:num>
  <w:num w:numId="26">
    <w:abstractNumId w:val="40"/>
  </w:num>
  <w:num w:numId="27">
    <w:abstractNumId w:val="36"/>
  </w:num>
  <w:num w:numId="28">
    <w:abstractNumId w:val="25"/>
  </w:num>
  <w:num w:numId="29">
    <w:abstractNumId w:val="11"/>
  </w:num>
  <w:num w:numId="30">
    <w:abstractNumId w:val="26"/>
  </w:num>
  <w:num w:numId="31">
    <w:abstractNumId w:val="42"/>
  </w:num>
  <w:num w:numId="32">
    <w:abstractNumId w:val="31"/>
  </w:num>
  <w:num w:numId="33">
    <w:abstractNumId w:val="29"/>
  </w:num>
  <w:num w:numId="34">
    <w:abstractNumId w:val="15"/>
  </w:num>
  <w:num w:numId="35">
    <w:abstractNumId w:val="33"/>
  </w:num>
  <w:num w:numId="36">
    <w:abstractNumId w:val="39"/>
  </w:num>
  <w:num w:numId="37">
    <w:abstractNumId w:val="27"/>
  </w:num>
  <w:num w:numId="38">
    <w:abstractNumId w:val="32"/>
  </w:num>
  <w:num w:numId="39">
    <w:abstractNumId w:val="19"/>
  </w:num>
  <w:num w:numId="40">
    <w:abstractNumId w:val="13"/>
  </w:num>
  <w:num w:numId="41">
    <w:abstractNumId w:val="43"/>
  </w:num>
  <w:num w:numId="42">
    <w:abstractNumId w:val="41"/>
  </w:num>
  <w:num w:numId="43">
    <w:abstractNumId w:val="18"/>
  </w:num>
  <w:num w:numId="44">
    <w:abstractNumId w:val="22"/>
  </w:num>
  <w:num w:numId="45">
    <w:abstractNumId w:val="30"/>
  </w:num>
  <w:num w:numId="46">
    <w:abstractNumId w:val="16"/>
  </w:num>
  <w:num w:numId="47">
    <w:abstractNumId w:val="37"/>
  </w:num>
  <w:num w:numId="48">
    <w:abstractNumId w:val="21"/>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E4F"/>
    <w:rsid w:val="00000B4C"/>
    <w:rsid w:val="00005BBE"/>
    <w:rsid w:val="000106D0"/>
    <w:rsid w:val="0001532B"/>
    <w:rsid w:val="0003202A"/>
    <w:rsid w:val="00034336"/>
    <w:rsid w:val="00037CB0"/>
    <w:rsid w:val="00040CBD"/>
    <w:rsid w:val="0004218F"/>
    <w:rsid w:val="00074466"/>
    <w:rsid w:val="000759A8"/>
    <w:rsid w:val="0007657C"/>
    <w:rsid w:val="00082405"/>
    <w:rsid w:val="000A576B"/>
    <w:rsid w:val="000A5FB5"/>
    <w:rsid w:val="000C1E8A"/>
    <w:rsid w:val="000E3BB9"/>
    <w:rsid w:val="000F47C2"/>
    <w:rsid w:val="00106AED"/>
    <w:rsid w:val="001431D6"/>
    <w:rsid w:val="00156869"/>
    <w:rsid w:val="00177BAA"/>
    <w:rsid w:val="00197B9F"/>
    <w:rsid w:val="001A736C"/>
    <w:rsid w:val="001B6456"/>
    <w:rsid w:val="001D3744"/>
    <w:rsid w:val="00203F01"/>
    <w:rsid w:val="00213DA6"/>
    <w:rsid w:val="00216302"/>
    <w:rsid w:val="002232E3"/>
    <w:rsid w:val="00227939"/>
    <w:rsid w:val="002337DE"/>
    <w:rsid w:val="00236D2D"/>
    <w:rsid w:val="00245A2B"/>
    <w:rsid w:val="00245F8E"/>
    <w:rsid w:val="00260148"/>
    <w:rsid w:val="00283C40"/>
    <w:rsid w:val="00293360"/>
    <w:rsid w:val="00295640"/>
    <w:rsid w:val="002B2A95"/>
    <w:rsid w:val="002B341E"/>
    <w:rsid w:val="002D1C62"/>
    <w:rsid w:val="002D367B"/>
    <w:rsid w:val="002E7030"/>
    <w:rsid w:val="002E762A"/>
    <w:rsid w:val="002F6534"/>
    <w:rsid w:val="00321DDF"/>
    <w:rsid w:val="00344533"/>
    <w:rsid w:val="00347254"/>
    <w:rsid w:val="00354EC2"/>
    <w:rsid w:val="00390203"/>
    <w:rsid w:val="00397220"/>
    <w:rsid w:val="003B0A38"/>
    <w:rsid w:val="003B5151"/>
    <w:rsid w:val="003B5242"/>
    <w:rsid w:val="003B666F"/>
    <w:rsid w:val="003B722B"/>
    <w:rsid w:val="003E2869"/>
    <w:rsid w:val="003E3722"/>
    <w:rsid w:val="003E75FF"/>
    <w:rsid w:val="004000EA"/>
    <w:rsid w:val="004008E2"/>
    <w:rsid w:val="0041650F"/>
    <w:rsid w:val="004227ED"/>
    <w:rsid w:val="00423927"/>
    <w:rsid w:val="0043679A"/>
    <w:rsid w:val="00445BCE"/>
    <w:rsid w:val="0044707D"/>
    <w:rsid w:val="004476A8"/>
    <w:rsid w:val="00454F25"/>
    <w:rsid w:val="004710B8"/>
    <w:rsid w:val="004918C1"/>
    <w:rsid w:val="004C0AFC"/>
    <w:rsid w:val="004C5AAA"/>
    <w:rsid w:val="004D1A10"/>
    <w:rsid w:val="004D7EC6"/>
    <w:rsid w:val="004E28DA"/>
    <w:rsid w:val="004E6246"/>
    <w:rsid w:val="00533E65"/>
    <w:rsid w:val="00546CBF"/>
    <w:rsid w:val="005478D1"/>
    <w:rsid w:val="005548B1"/>
    <w:rsid w:val="00561F81"/>
    <w:rsid w:val="0056681E"/>
    <w:rsid w:val="00571D6D"/>
    <w:rsid w:val="00572AA9"/>
    <w:rsid w:val="005947E2"/>
    <w:rsid w:val="00595906"/>
    <w:rsid w:val="005A5418"/>
    <w:rsid w:val="005B11F9"/>
    <w:rsid w:val="005D18BF"/>
    <w:rsid w:val="005D739C"/>
    <w:rsid w:val="005F0E51"/>
    <w:rsid w:val="005F6088"/>
    <w:rsid w:val="006102E3"/>
    <w:rsid w:val="00611629"/>
    <w:rsid w:val="00617E44"/>
    <w:rsid w:val="00622C16"/>
    <w:rsid w:val="00631D73"/>
    <w:rsid w:val="00650237"/>
    <w:rsid w:val="00652A7D"/>
    <w:rsid w:val="006648BA"/>
    <w:rsid w:val="00671278"/>
    <w:rsid w:val="006816A9"/>
    <w:rsid w:val="006B0D9D"/>
    <w:rsid w:val="006B0E3E"/>
    <w:rsid w:val="006B19BD"/>
    <w:rsid w:val="006B5899"/>
    <w:rsid w:val="006B6E99"/>
    <w:rsid w:val="006E396F"/>
    <w:rsid w:val="006E6FCC"/>
    <w:rsid w:val="006F2710"/>
    <w:rsid w:val="006F2D0D"/>
    <w:rsid w:val="00710711"/>
    <w:rsid w:val="0071462F"/>
    <w:rsid w:val="00734778"/>
    <w:rsid w:val="00767283"/>
    <w:rsid w:val="00770A94"/>
    <w:rsid w:val="00773D9B"/>
    <w:rsid w:val="00797469"/>
    <w:rsid w:val="007A7727"/>
    <w:rsid w:val="007B201A"/>
    <w:rsid w:val="007C2143"/>
    <w:rsid w:val="007E535A"/>
    <w:rsid w:val="007E6E37"/>
    <w:rsid w:val="007F1D98"/>
    <w:rsid w:val="007F3ACD"/>
    <w:rsid w:val="0080133F"/>
    <w:rsid w:val="0080498F"/>
    <w:rsid w:val="00810865"/>
    <w:rsid w:val="00821DD2"/>
    <w:rsid w:val="00847D11"/>
    <w:rsid w:val="00853A33"/>
    <w:rsid w:val="00854696"/>
    <w:rsid w:val="00860654"/>
    <w:rsid w:val="00865D25"/>
    <w:rsid w:val="0088282C"/>
    <w:rsid w:val="00885A72"/>
    <w:rsid w:val="008B1D09"/>
    <w:rsid w:val="008B7D3C"/>
    <w:rsid w:val="008C3428"/>
    <w:rsid w:val="008C4E06"/>
    <w:rsid w:val="008F03DF"/>
    <w:rsid w:val="008F3747"/>
    <w:rsid w:val="00903467"/>
    <w:rsid w:val="00906EAA"/>
    <w:rsid w:val="00970DD2"/>
    <w:rsid w:val="00995530"/>
    <w:rsid w:val="009C1008"/>
    <w:rsid w:val="009C3EF9"/>
    <w:rsid w:val="009D14F4"/>
    <w:rsid w:val="009D15F1"/>
    <w:rsid w:val="009D2B10"/>
    <w:rsid w:val="009E3156"/>
    <w:rsid w:val="009E72E4"/>
    <w:rsid w:val="009E7931"/>
    <w:rsid w:val="009F3736"/>
    <w:rsid w:val="00A2199C"/>
    <w:rsid w:val="00A33F68"/>
    <w:rsid w:val="00A4157F"/>
    <w:rsid w:val="00A43896"/>
    <w:rsid w:val="00A6244E"/>
    <w:rsid w:val="00A74999"/>
    <w:rsid w:val="00A8519D"/>
    <w:rsid w:val="00AC49E7"/>
    <w:rsid w:val="00AD0E0F"/>
    <w:rsid w:val="00AD23BA"/>
    <w:rsid w:val="00AF6E4F"/>
    <w:rsid w:val="00B05305"/>
    <w:rsid w:val="00B1110B"/>
    <w:rsid w:val="00B41635"/>
    <w:rsid w:val="00B5357A"/>
    <w:rsid w:val="00B54621"/>
    <w:rsid w:val="00B614E2"/>
    <w:rsid w:val="00B82B26"/>
    <w:rsid w:val="00B83FAA"/>
    <w:rsid w:val="00B90332"/>
    <w:rsid w:val="00B97B1B"/>
    <w:rsid w:val="00BA6F26"/>
    <w:rsid w:val="00BB0AF3"/>
    <w:rsid w:val="00BB22CE"/>
    <w:rsid w:val="00BD1C80"/>
    <w:rsid w:val="00BE54D3"/>
    <w:rsid w:val="00C01165"/>
    <w:rsid w:val="00C31CBA"/>
    <w:rsid w:val="00C503A7"/>
    <w:rsid w:val="00C5215F"/>
    <w:rsid w:val="00C5546F"/>
    <w:rsid w:val="00C554CE"/>
    <w:rsid w:val="00C65A58"/>
    <w:rsid w:val="00C849D5"/>
    <w:rsid w:val="00CB4A28"/>
    <w:rsid w:val="00CD1F38"/>
    <w:rsid w:val="00CD315B"/>
    <w:rsid w:val="00CD3FF1"/>
    <w:rsid w:val="00D01F0A"/>
    <w:rsid w:val="00D20BC2"/>
    <w:rsid w:val="00D34EA0"/>
    <w:rsid w:val="00D65D61"/>
    <w:rsid w:val="00D82DE7"/>
    <w:rsid w:val="00D86667"/>
    <w:rsid w:val="00DA26F0"/>
    <w:rsid w:val="00DB5018"/>
    <w:rsid w:val="00DD6907"/>
    <w:rsid w:val="00DD7526"/>
    <w:rsid w:val="00DE5814"/>
    <w:rsid w:val="00E027FE"/>
    <w:rsid w:val="00E10E2C"/>
    <w:rsid w:val="00E21ED5"/>
    <w:rsid w:val="00E254E9"/>
    <w:rsid w:val="00E620DD"/>
    <w:rsid w:val="00E671C3"/>
    <w:rsid w:val="00E90142"/>
    <w:rsid w:val="00E9269E"/>
    <w:rsid w:val="00EB25A1"/>
    <w:rsid w:val="00EF6664"/>
    <w:rsid w:val="00F06EE8"/>
    <w:rsid w:val="00F07349"/>
    <w:rsid w:val="00F113EF"/>
    <w:rsid w:val="00F11433"/>
    <w:rsid w:val="00F126F3"/>
    <w:rsid w:val="00F16CBF"/>
    <w:rsid w:val="00F22AE5"/>
    <w:rsid w:val="00F2566A"/>
    <w:rsid w:val="00F31296"/>
    <w:rsid w:val="00F47956"/>
    <w:rsid w:val="00F5235E"/>
    <w:rsid w:val="00F52EAE"/>
    <w:rsid w:val="00F631BA"/>
    <w:rsid w:val="00F63900"/>
    <w:rsid w:val="00F70584"/>
    <w:rsid w:val="00F827AD"/>
    <w:rsid w:val="00F829C0"/>
    <w:rsid w:val="00F829F6"/>
    <w:rsid w:val="00F83642"/>
    <w:rsid w:val="00FA05A9"/>
    <w:rsid w:val="00FB779B"/>
    <w:rsid w:val="00FC270D"/>
    <w:rsid w:val="00FE398C"/>
    <w:rsid w:val="00FF36C1"/>
    <w:rsid w:val="00FF7A5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F81928"/>
  <w15:chartTrackingRefBased/>
  <w15:docId w15:val="{AE9A968E-6C2B-4038-86CB-B935E0E18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Calibri" w:hAnsi="Verdana" w:cs="Calibri"/>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unhideWhenUsed="1" w:qFormat="1"/>
    <w:lsdException w:name="heading 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unhideWhenUsed="1"/>
    <w:lsdException w:name="List Number" w:semiHidden="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E4F"/>
    <w:pPr>
      <w:spacing w:after="160" w:line="259" w:lineRule="auto"/>
    </w:pPr>
    <w:rPr>
      <w:rFonts w:asciiTheme="minorHAnsi" w:eastAsiaTheme="minorHAnsi" w:hAnsiTheme="minorHAnsi" w:cstheme="minorBidi"/>
      <w:sz w:val="22"/>
    </w:rPr>
  </w:style>
  <w:style w:type="paragraph" w:styleId="Heading1">
    <w:name w:val="heading 1"/>
    <w:basedOn w:val="Normal"/>
    <w:next w:val="Normal"/>
    <w:link w:val="Heading1Char"/>
    <w:uiPriority w:val="99"/>
    <w:qFormat/>
    <w:rsid w:val="00F113EF"/>
    <w:pPr>
      <w:keepNext/>
      <w:keepLines/>
      <w:spacing w:before="360" w:after="240"/>
      <w:outlineLvl w:val="0"/>
    </w:pPr>
    <w:rPr>
      <w:rFonts w:ascii="Georgia" w:eastAsiaTheme="majorEastAsia" w:hAnsi="Georgia"/>
      <w:b/>
      <w:bCs/>
      <w:sz w:val="36"/>
      <w:szCs w:val="28"/>
    </w:rPr>
  </w:style>
  <w:style w:type="paragraph" w:styleId="Heading2">
    <w:name w:val="heading 2"/>
    <w:basedOn w:val="Normal"/>
    <w:next w:val="Normal"/>
    <w:link w:val="Heading2Char"/>
    <w:uiPriority w:val="99"/>
    <w:qFormat/>
    <w:rsid w:val="00F126F3"/>
    <w:pPr>
      <w:outlineLvl w:val="1"/>
    </w:pPr>
    <w:rPr>
      <w:b/>
      <w:sz w:val="28"/>
      <w:szCs w:val="28"/>
    </w:rPr>
  </w:style>
  <w:style w:type="paragraph" w:styleId="Heading3">
    <w:name w:val="heading 3"/>
    <w:basedOn w:val="Heading2"/>
    <w:next w:val="Normal"/>
    <w:link w:val="Heading3Char"/>
    <w:uiPriority w:val="99"/>
    <w:qFormat/>
    <w:rsid w:val="00F126F3"/>
    <w:pPr>
      <w:outlineLvl w:val="2"/>
    </w:pPr>
    <w:rPr>
      <w:sz w:val="24"/>
      <w:szCs w:val="24"/>
    </w:rPr>
  </w:style>
  <w:style w:type="paragraph" w:styleId="Heading4">
    <w:name w:val="heading 4"/>
    <w:basedOn w:val="Heading3"/>
    <w:next w:val="Normal"/>
    <w:link w:val="Heading4Char"/>
    <w:uiPriority w:val="99"/>
    <w:qFormat/>
    <w:rsid w:val="00F126F3"/>
    <w:pPr>
      <w:outlineLvl w:val="3"/>
    </w:pPr>
    <w:rPr>
      <w:b w:val="0"/>
      <w:i/>
    </w:rPr>
  </w:style>
  <w:style w:type="paragraph" w:styleId="Heading5">
    <w:name w:val="heading 5"/>
    <w:basedOn w:val="Normal"/>
    <w:next w:val="Normal"/>
    <w:link w:val="Heading5Char"/>
    <w:uiPriority w:val="9"/>
    <w:semiHidden/>
    <w:unhideWhenUsed/>
    <w:rsid w:val="007F3ACD"/>
    <w:pPr>
      <w:keepNext/>
      <w:keepLines/>
      <w:numPr>
        <w:ilvl w:val="4"/>
        <w:numId w:val="15"/>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7F3ACD"/>
    <w:pPr>
      <w:keepNext/>
      <w:keepLines/>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7F3ACD"/>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F3ACD"/>
    <w:pPr>
      <w:keepNext/>
      <w:keepLines/>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7F3ACD"/>
    <w:pPr>
      <w:keepNext/>
      <w:keepLines/>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113EF"/>
    <w:rPr>
      <w:rFonts w:ascii="Georgia" w:eastAsiaTheme="majorEastAsia" w:hAnsi="Georgia" w:cs="Arial"/>
      <w:b/>
      <w:bCs/>
      <w:sz w:val="36"/>
      <w:szCs w:val="28"/>
    </w:rPr>
  </w:style>
  <w:style w:type="character" w:customStyle="1" w:styleId="Heading2Char">
    <w:name w:val="Heading 2 Char"/>
    <w:basedOn w:val="DefaultParagraphFont"/>
    <w:link w:val="Heading2"/>
    <w:uiPriority w:val="99"/>
    <w:rsid w:val="00F126F3"/>
    <w:rPr>
      <w:rFonts w:ascii="Verdana" w:hAnsi="Verdana" w:cs="Arial"/>
      <w:b/>
      <w:sz w:val="28"/>
      <w:szCs w:val="28"/>
    </w:rPr>
  </w:style>
  <w:style w:type="character" w:customStyle="1" w:styleId="Heading3Char">
    <w:name w:val="Heading 3 Char"/>
    <w:basedOn w:val="DefaultParagraphFont"/>
    <w:link w:val="Heading3"/>
    <w:uiPriority w:val="99"/>
    <w:rsid w:val="00F126F3"/>
    <w:rPr>
      <w:rFonts w:ascii="Verdana" w:hAnsi="Verdana" w:cs="Arial"/>
      <w:b/>
      <w:sz w:val="24"/>
      <w:szCs w:val="24"/>
    </w:rPr>
  </w:style>
  <w:style w:type="character" w:customStyle="1" w:styleId="Heading4Char">
    <w:name w:val="Heading 4 Char"/>
    <w:basedOn w:val="DefaultParagraphFont"/>
    <w:link w:val="Heading4"/>
    <w:uiPriority w:val="99"/>
    <w:rsid w:val="00F126F3"/>
    <w:rPr>
      <w:rFonts w:ascii="Verdana" w:hAnsi="Verdana" w:cs="Arial"/>
      <w:i/>
      <w:sz w:val="24"/>
      <w:szCs w:val="24"/>
    </w:rPr>
  </w:style>
  <w:style w:type="paragraph" w:styleId="ListParagraph">
    <w:name w:val="List Paragraph"/>
    <w:basedOn w:val="Normal"/>
    <w:uiPriority w:val="34"/>
    <w:qFormat/>
    <w:rsid w:val="00A43896"/>
    <w:pPr>
      <w:ind w:left="720"/>
      <w:contextualSpacing/>
    </w:pPr>
  </w:style>
  <w:style w:type="paragraph" w:styleId="List5">
    <w:name w:val="List 5"/>
    <w:basedOn w:val="Normal"/>
    <w:uiPriority w:val="99"/>
    <w:semiHidden/>
    <w:rsid w:val="00C5215F"/>
    <w:pPr>
      <w:numPr>
        <w:ilvl w:val="4"/>
        <w:numId w:val="4"/>
      </w:numPr>
      <w:contextualSpacing/>
    </w:pPr>
  </w:style>
  <w:style w:type="paragraph" w:styleId="List">
    <w:name w:val="List"/>
    <w:basedOn w:val="Normal"/>
    <w:uiPriority w:val="99"/>
    <w:rsid w:val="00F06EE8"/>
    <w:pPr>
      <w:numPr>
        <w:numId w:val="4"/>
      </w:numPr>
      <w:ind w:left="454" w:hanging="454"/>
    </w:pPr>
  </w:style>
  <w:style w:type="paragraph" w:styleId="List2">
    <w:name w:val="List 2"/>
    <w:basedOn w:val="Normal"/>
    <w:uiPriority w:val="99"/>
    <w:rsid w:val="00906EAA"/>
    <w:pPr>
      <w:numPr>
        <w:ilvl w:val="1"/>
        <w:numId w:val="4"/>
      </w:numPr>
      <w:ind w:left="908" w:hanging="454"/>
    </w:pPr>
  </w:style>
  <w:style w:type="table" w:styleId="TableGrid">
    <w:name w:val="Table Grid"/>
    <w:basedOn w:val="TableNormal"/>
    <w:uiPriority w:val="59"/>
    <w:rsid w:val="003E3722"/>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rsid w:val="006B19BD"/>
    <w:pPr>
      <w:spacing w:after="300"/>
      <w:contextualSpacing/>
    </w:pPr>
    <w:rPr>
      <w:rFonts w:ascii="Georgia" w:eastAsiaTheme="majorEastAsia" w:hAnsi="Georgia" w:cs="Times New Roman"/>
      <w:spacing w:val="5"/>
      <w:kern w:val="28"/>
      <w:sz w:val="36"/>
      <w:szCs w:val="52"/>
    </w:rPr>
  </w:style>
  <w:style w:type="character" w:customStyle="1" w:styleId="TitleChar">
    <w:name w:val="Title Char"/>
    <w:basedOn w:val="DefaultParagraphFont"/>
    <w:link w:val="Title"/>
    <w:uiPriority w:val="99"/>
    <w:rsid w:val="006B19BD"/>
    <w:rPr>
      <w:rFonts w:ascii="Georgia" w:eastAsiaTheme="majorEastAsia" w:hAnsi="Georgia"/>
      <w:spacing w:val="5"/>
      <w:kern w:val="28"/>
      <w:sz w:val="36"/>
      <w:szCs w:val="52"/>
    </w:rPr>
  </w:style>
  <w:style w:type="paragraph" w:styleId="Subtitle">
    <w:name w:val="Subtitle"/>
    <w:basedOn w:val="Normal"/>
    <w:next w:val="Normal"/>
    <w:link w:val="SubtitleChar"/>
    <w:uiPriority w:val="99"/>
    <w:rsid w:val="006B19BD"/>
    <w:pPr>
      <w:numPr>
        <w:ilvl w:val="1"/>
      </w:numPr>
    </w:pPr>
    <w:rPr>
      <w:rFonts w:eastAsiaTheme="majorEastAsia" w:cs="Times New Roman"/>
      <w:b/>
      <w:iCs/>
      <w:spacing w:val="15"/>
      <w:sz w:val="28"/>
      <w:szCs w:val="24"/>
    </w:rPr>
  </w:style>
  <w:style w:type="character" w:customStyle="1" w:styleId="SubtitleChar">
    <w:name w:val="Subtitle Char"/>
    <w:basedOn w:val="DefaultParagraphFont"/>
    <w:link w:val="Subtitle"/>
    <w:uiPriority w:val="99"/>
    <w:rsid w:val="006B19BD"/>
    <w:rPr>
      <w:rFonts w:ascii="Verdana" w:eastAsiaTheme="majorEastAsia" w:hAnsi="Verdana"/>
      <w:b/>
      <w:iCs/>
      <w:spacing w:val="15"/>
      <w:sz w:val="28"/>
      <w:szCs w:val="24"/>
    </w:rPr>
  </w:style>
  <w:style w:type="character" w:styleId="SubtleEmphasis">
    <w:name w:val="Subtle Emphasis"/>
    <w:basedOn w:val="Heading4Char"/>
    <w:uiPriority w:val="99"/>
    <w:rsid w:val="006B19BD"/>
    <w:rPr>
      <w:rFonts w:ascii="Verdana" w:hAnsi="Verdana" w:cs="Times New Roman"/>
      <w:i/>
      <w:iCs/>
      <w:color w:val="auto"/>
      <w:sz w:val="20"/>
      <w:szCs w:val="24"/>
    </w:rPr>
  </w:style>
  <w:style w:type="paragraph" w:customStyle="1" w:styleId="Bullet1">
    <w:name w:val="Bullet1"/>
    <w:basedOn w:val="Normal"/>
    <w:qFormat/>
    <w:rsid w:val="00F113EF"/>
    <w:pPr>
      <w:numPr>
        <w:numId w:val="32"/>
      </w:numPr>
      <w:tabs>
        <w:tab w:val="left" w:pos="454"/>
      </w:tabs>
      <w:suppressAutoHyphens/>
      <w:autoSpaceDE w:val="0"/>
      <w:autoSpaceDN w:val="0"/>
      <w:adjustRightInd w:val="0"/>
      <w:ind w:left="567" w:hanging="567"/>
      <w:textAlignment w:val="center"/>
    </w:pPr>
    <w:rPr>
      <w:rFonts w:eastAsia="Times New Roman"/>
      <w:kern w:val="28"/>
      <w:szCs w:val="20"/>
      <w:lang w:val="en-US"/>
    </w:rPr>
  </w:style>
  <w:style w:type="paragraph" w:customStyle="1" w:styleId="Bullet2">
    <w:name w:val="Bullet2"/>
    <w:qFormat/>
    <w:rsid w:val="00F113EF"/>
    <w:pPr>
      <w:numPr>
        <w:numId w:val="11"/>
      </w:numPr>
      <w:spacing w:before="120"/>
    </w:pPr>
    <w:rPr>
      <w:rFonts w:eastAsia="Times New Roman"/>
    </w:rPr>
  </w:style>
  <w:style w:type="character" w:customStyle="1" w:styleId="Heading5Char">
    <w:name w:val="Heading 5 Char"/>
    <w:basedOn w:val="DefaultParagraphFont"/>
    <w:link w:val="Heading5"/>
    <w:uiPriority w:val="9"/>
    <w:semiHidden/>
    <w:rsid w:val="007F3ACD"/>
    <w:rPr>
      <w:rFonts w:ascii="Verdana" w:eastAsiaTheme="majorEastAsia" w:hAnsi="Verdana" w:cstheme="majorBidi"/>
      <w:color w:val="243F60" w:themeColor="accent1" w:themeShade="7F"/>
      <w:szCs w:val="22"/>
    </w:rPr>
  </w:style>
  <w:style w:type="character" w:styleId="Strong">
    <w:name w:val="Strong"/>
    <w:basedOn w:val="Heading4Char"/>
    <w:uiPriority w:val="22"/>
    <w:qFormat/>
    <w:rsid w:val="007C2143"/>
    <w:rPr>
      <w:rFonts w:ascii="Verdana" w:hAnsi="Verdana" w:cs="Arial"/>
      <w:b/>
      <w:bCs/>
      <w:i/>
      <w:sz w:val="20"/>
      <w:szCs w:val="24"/>
    </w:rPr>
  </w:style>
  <w:style w:type="paragraph" w:styleId="TOCHeading">
    <w:name w:val="TOC Heading"/>
    <w:basedOn w:val="Heading1"/>
    <w:next w:val="Normal"/>
    <w:uiPriority w:val="39"/>
    <w:unhideWhenUsed/>
    <w:rsid w:val="003B0A38"/>
    <w:pPr>
      <w:spacing w:before="480" w:line="276" w:lineRule="auto"/>
      <w:outlineLvl w:val="9"/>
    </w:pPr>
    <w:rPr>
      <w:rFonts w:cstheme="majorBidi"/>
      <w:lang w:val="en-US" w:eastAsia="ja-JP"/>
    </w:rPr>
  </w:style>
  <w:style w:type="paragraph" w:styleId="NoSpacing">
    <w:name w:val="No Spacing"/>
    <w:basedOn w:val="BodyText"/>
    <w:uiPriority w:val="1"/>
    <w:rsid w:val="003B0A38"/>
  </w:style>
  <w:style w:type="paragraph" w:styleId="Quote">
    <w:name w:val="Quote"/>
    <w:basedOn w:val="Normal"/>
    <w:next w:val="Normal"/>
    <w:link w:val="QuoteChar"/>
    <w:uiPriority w:val="29"/>
    <w:rsid w:val="002D367B"/>
    <w:rPr>
      <w:i/>
      <w:iCs/>
      <w:color w:val="000000" w:themeColor="text1"/>
    </w:rPr>
  </w:style>
  <w:style w:type="character" w:customStyle="1" w:styleId="QuoteChar">
    <w:name w:val="Quote Char"/>
    <w:basedOn w:val="DefaultParagraphFont"/>
    <w:link w:val="Quote"/>
    <w:uiPriority w:val="29"/>
    <w:rsid w:val="002D367B"/>
    <w:rPr>
      <w:rFonts w:ascii="Verdana" w:hAnsi="Verdana" w:cs="Arial"/>
      <w:i/>
      <w:iCs/>
      <w:color w:val="000000" w:themeColor="text1"/>
      <w:sz w:val="22"/>
      <w:szCs w:val="22"/>
    </w:rPr>
  </w:style>
  <w:style w:type="character" w:styleId="Emphasis">
    <w:name w:val="Emphasis"/>
    <w:basedOn w:val="DefaultParagraphFont"/>
    <w:uiPriority w:val="20"/>
    <w:rsid w:val="000A576B"/>
    <w:rPr>
      <w:rFonts w:ascii="Verdana" w:hAnsi="Verdana"/>
      <w:b/>
      <w:sz w:val="20"/>
    </w:rPr>
  </w:style>
  <w:style w:type="paragraph" w:styleId="IntenseQuote">
    <w:name w:val="Intense Quote"/>
    <w:basedOn w:val="Normal"/>
    <w:next w:val="Normal"/>
    <w:link w:val="IntenseQuoteChar"/>
    <w:uiPriority w:val="30"/>
    <w:rsid w:val="003B0A38"/>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B0A38"/>
    <w:rPr>
      <w:rFonts w:ascii="Verdana" w:hAnsi="Verdana" w:cs="Arial"/>
      <w:b/>
      <w:bCs/>
      <w:i/>
      <w:iCs/>
      <w:szCs w:val="22"/>
    </w:rPr>
  </w:style>
  <w:style w:type="paragraph" w:styleId="ListBullet2">
    <w:name w:val="List Bullet 2"/>
    <w:basedOn w:val="Normal"/>
    <w:uiPriority w:val="99"/>
    <w:rsid w:val="006B19BD"/>
    <w:pPr>
      <w:numPr>
        <w:numId w:val="6"/>
      </w:numPr>
      <w:tabs>
        <w:tab w:val="clear" w:pos="643"/>
      </w:tabs>
      <w:contextualSpacing/>
    </w:pPr>
  </w:style>
  <w:style w:type="paragraph" w:styleId="ListBullet">
    <w:name w:val="List Bullet"/>
    <w:basedOn w:val="Normal"/>
    <w:uiPriority w:val="99"/>
    <w:rsid w:val="003B0A38"/>
    <w:pPr>
      <w:numPr>
        <w:numId w:val="5"/>
      </w:numPr>
      <w:contextualSpacing/>
    </w:pPr>
  </w:style>
  <w:style w:type="character" w:styleId="BookTitle">
    <w:name w:val="Book Title"/>
    <w:basedOn w:val="DefaultParagraphFont"/>
    <w:uiPriority w:val="33"/>
    <w:rsid w:val="003E3722"/>
    <w:rPr>
      <w:rFonts w:ascii="Verdana" w:hAnsi="Verdana"/>
      <w:b w:val="0"/>
      <w:bCs/>
      <w:i/>
      <w:caps w:val="0"/>
      <w:smallCaps w:val="0"/>
      <w:spacing w:val="5"/>
      <w:sz w:val="20"/>
    </w:rPr>
  </w:style>
  <w:style w:type="character" w:styleId="IntenseReference">
    <w:name w:val="Intense Reference"/>
    <w:basedOn w:val="DefaultParagraphFont"/>
    <w:uiPriority w:val="32"/>
    <w:rsid w:val="003B0A38"/>
    <w:rPr>
      <w:b/>
      <w:bCs/>
      <w:smallCaps/>
      <w:spacing w:val="5"/>
    </w:rPr>
  </w:style>
  <w:style w:type="character" w:styleId="SubtleReference">
    <w:name w:val="Subtle Reference"/>
    <w:basedOn w:val="DefaultParagraphFont"/>
    <w:uiPriority w:val="31"/>
    <w:rsid w:val="003B0A38"/>
    <w:rPr>
      <w:smallCaps/>
    </w:rPr>
  </w:style>
  <w:style w:type="character" w:styleId="IntenseEmphasis">
    <w:name w:val="Intense Emphasis"/>
    <w:basedOn w:val="DefaultParagraphFont"/>
    <w:uiPriority w:val="21"/>
    <w:rsid w:val="003B0A38"/>
    <w:rPr>
      <w:b/>
      <w:bCs/>
      <w:i/>
      <w:iCs/>
      <w:color w:val="auto"/>
    </w:rPr>
  </w:style>
  <w:style w:type="paragraph" w:styleId="BlockText">
    <w:name w:val="Block Text"/>
    <w:basedOn w:val="Normal"/>
    <w:uiPriority w:val="99"/>
    <w:semiHidden/>
    <w:rsid w:val="003E372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Cs/>
    </w:rPr>
  </w:style>
  <w:style w:type="character" w:styleId="EndnoteReference">
    <w:name w:val="endnote reference"/>
    <w:basedOn w:val="DefaultParagraphFont"/>
    <w:uiPriority w:val="99"/>
    <w:semiHidden/>
    <w:rsid w:val="003B0A38"/>
    <w:rPr>
      <w:rFonts w:ascii="Verdana" w:hAnsi="Verdana"/>
      <w:sz w:val="18"/>
      <w:vertAlign w:val="superscript"/>
    </w:rPr>
  </w:style>
  <w:style w:type="paragraph" w:styleId="BodyText">
    <w:name w:val="Body Text"/>
    <w:basedOn w:val="Normal"/>
    <w:link w:val="BodyTextChar"/>
    <w:uiPriority w:val="99"/>
    <w:semiHidden/>
    <w:rsid w:val="003B0A38"/>
  </w:style>
  <w:style w:type="character" w:customStyle="1" w:styleId="BodyTextChar">
    <w:name w:val="Body Text Char"/>
    <w:basedOn w:val="DefaultParagraphFont"/>
    <w:link w:val="BodyText"/>
    <w:uiPriority w:val="99"/>
    <w:semiHidden/>
    <w:rsid w:val="003B0A38"/>
    <w:rPr>
      <w:rFonts w:ascii="Verdana" w:hAnsi="Verdana" w:cs="Arial"/>
      <w:szCs w:val="22"/>
    </w:rPr>
  </w:style>
  <w:style w:type="character" w:styleId="CommentReference">
    <w:name w:val="annotation reference"/>
    <w:basedOn w:val="DefaultParagraphFont"/>
    <w:uiPriority w:val="99"/>
    <w:semiHidden/>
    <w:rsid w:val="003B0A38"/>
    <w:rPr>
      <w:rFonts w:ascii="Verdana" w:hAnsi="Verdana"/>
      <w:sz w:val="16"/>
      <w:szCs w:val="16"/>
    </w:rPr>
  </w:style>
  <w:style w:type="paragraph" w:styleId="CommentText">
    <w:name w:val="annotation text"/>
    <w:basedOn w:val="Normal"/>
    <w:link w:val="CommentTextChar"/>
    <w:uiPriority w:val="99"/>
    <w:rsid w:val="003B0A38"/>
    <w:pPr>
      <w:spacing w:line="240" w:lineRule="auto"/>
    </w:pPr>
    <w:rPr>
      <w:szCs w:val="20"/>
    </w:rPr>
  </w:style>
  <w:style w:type="character" w:customStyle="1" w:styleId="CommentTextChar">
    <w:name w:val="Comment Text Char"/>
    <w:basedOn w:val="DefaultParagraphFont"/>
    <w:link w:val="CommentText"/>
    <w:uiPriority w:val="99"/>
    <w:rsid w:val="003B0A38"/>
    <w:rPr>
      <w:rFonts w:ascii="Verdana" w:hAnsi="Verdana" w:cs="Arial"/>
    </w:rPr>
  </w:style>
  <w:style w:type="paragraph" w:styleId="BodyText2">
    <w:name w:val="Body Text 2"/>
    <w:basedOn w:val="Normal"/>
    <w:link w:val="BodyText2Char"/>
    <w:uiPriority w:val="99"/>
    <w:semiHidden/>
    <w:rsid w:val="003B0A38"/>
    <w:pPr>
      <w:spacing w:line="480" w:lineRule="auto"/>
    </w:pPr>
  </w:style>
  <w:style w:type="character" w:customStyle="1" w:styleId="BodyText2Char">
    <w:name w:val="Body Text 2 Char"/>
    <w:basedOn w:val="DefaultParagraphFont"/>
    <w:link w:val="BodyText2"/>
    <w:uiPriority w:val="99"/>
    <w:semiHidden/>
    <w:rsid w:val="003B0A38"/>
    <w:rPr>
      <w:rFonts w:ascii="Verdana" w:hAnsi="Verdana" w:cs="Arial"/>
      <w:szCs w:val="22"/>
    </w:rPr>
  </w:style>
  <w:style w:type="paragraph" w:styleId="BodyText3">
    <w:name w:val="Body Text 3"/>
    <w:basedOn w:val="Normal"/>
    <w:link w:val="BodyText3Char"/>
    <w:uiPriority w:val="99"/>
    <w:semiHidden/>
    <w:rsid w:val="003B0A38"/>
    <w:rPr>
      <w:szCs w:val="16"/>
    </w:rPr>
  </w:style>
  <w:style w:type="character" w:customStyle="1" w:styleId="BodyText3Char">
    <w:name w:val="Body Text 3 Char"/>
    <w:basedOn w:val="DefaultParagraphFont"/>
    <w:link w:val="BodyText3"/>
    <w:uiPriority w:val="99"/>
    <w:semiHidden/>
    <w:rsid w:val="003B0A38"/>
    <w:rPr>
      <w:rFonts w:ascii="Verdana" w:hAnsi="Verdana" w:cs="Arial"/>
      <w:szCs w:val="16"/>
    </w:rPr>
  </w:style>
  <w:style w:type="paragraph" w:styleId="BodyTextIndent">
    <w:name w:val="Body Text Indent"/>
    <w:basedOn w:val="Normal"/>
    <w:link w:val="BodyTextIndentChar"/>
    <w:uiPriority w:val="99"/>
    <w:semiHidden/>
    <w:rsid w:val="003E3722"/>
    <w:pPr>
      <w:ind w:left="283"/>
    </w:pPr>
  </w:style>
  <w:style w:type="character" w:customStyle="1" w:styleId="BodyTextIndentChar">
    <w:name w:val="Body Text Indent Char"/>
    <w:basedOn w:val="DefaultParagraphFont"/>
    <w:link w:val="BodyTextIndent"/>
    <w:uiPriority w:val="99"/>
    <w:semiHidden/>
    <w:rsid w:val="003E3722"/>
    <w:rPr>
      <w:rFonts w:ascii="Verdana" w:hAnsi="Verdana" w:cs="Arial"/>
      <w:szCs w:val="22"/>
    </w:rPr>
  </w:style>
  <w:style w:type="paragraph" w:styleId="TOC1">
    <w:name w:val="toc 1"/>
    <w:basedOn w:val="Normal"/>
    <w:next w:val="Normal"/>
    <w:autoRedefine/>
    <w:uiPriority w:val="39"/>
    <w:semiHidden/>
    <w:rsid w:val="003E3722"/>
    <w:pPr>
      <w:spacing w:after="100"/>
    </w:pPr>
  </w:style>
  <w:style w:type="paragraph" w:styleId="TOC2">
    <w:name w:val="toc 2"/>
    <w:basedOn w:val="Normal"/>
    <w:next w:val="Normal"/>
    <w:autoRedefine/>
    <w:uiPriority w:val="39"/>
    <w:semiHidden/>
    <w:rsid w:val="003E3722"/>
    <w:pPr>
      <w:spacing w:after="100"/>
      <w:ind w:left="200"/>
    </w:pPr>
  </w:style>
  <w:style w:type="paragraph" w:styleId="TOC3">
    <w:name w:val="toc 3"/>
    <w:basedOn w:val="Normal"/>
    <w:next w:val="Normal"/>
    <w:autoRedefine/>
    <w:uiPriority w:val="39"/>
    <w:semiHidden/>
    <w:rsid w:val="003E3722"/>
    <w:pPr>
      <w:spacing w:after="100"/>
      <w:ind w:left="400"/>
    </w:pPr>
  </w:style>
  <w:style w:type="paragraph" w:styleId="TOC4">
    <w:name w:val="toc 4"/>
    <w:basedOn w:val="Normal"/>
    <w:next w:val="Normal"/>
    <w:autoRedefine/>
    <w:uiPriority w:val="39"/>
    <w:semiHidden/>
    <w:rsid w:val="003E3722"/>
    <w:pPr>
      <w:spacing w:after="100"/>
      <w:ind w:left="600"/>
    </w:pPr>
  </w:style>
  <w:style w:type="paragraph" w:styleId="TOC5">
    <w:name w:val="toc 5"/>
    <w:basedOn w:val="Normal"/>
    <w:next w:val="Normal"/>
    <w:autoRedefine/>
    <w:uiPriority w:val="39"/>
    <w:semiHidden/>
    <w:rsid w:val="003E3722"/>
    <w:pPr>
      <w:spacing w:after="100"/>
      <w:ind w:left="800"/>
    </w:pPr>
  </w:style>
  <w:style w:type="paragraph" w:styleId="TOC6">
    <w:name w:val="toc 6"/>
    <w:basedOn w:val="Normal"/>
    <w:next w:val="Normal"/>
    <w:autoRedefine/>
    <w:uiPriority w:val="39"/>
    <w:semiHidden/>
    <w:rsid w:val="003E3722"/>
    <w:pPr>
      <w:spacing w:after="100"/>
      <w:ind w:left="1000"/>
    </w:pPr>
  </w:style>
  <w:style w:type="paragraph" w:styleId="TOC7">
    <w:name w:val="toc 7"/>
    <w:basedOn w:val="Normal"/>
    <w:next w:val="Normal"/>
    <w:autoRedefine/>
    <w:uiPriority w:val="39"/>
    <w:semiHidden/>
    <w:rsid w:val="003E3722"/>
    <w:pPr>
      <w:spacing w:after="100"/>
      <w:ind w:left="1200"/>
    </w:pPr>
  </w:style>
  <w:style w:type="paragraph" w:styleId="TOC8">
    <w:name w:val="toc 8"/>
    <w:basedOn w:val="Normal"/>
    <w:next w:val="Normal"/>
    <w:autoRedefine/>
    <w:uiPriority w:val="39"/>
    <w:semiHidden/>
    <w:rsid w:val="003E3722"/>
    <w:pPr>
      <w:spacing w:after="100"/>
      <w:ind w:left="1400"/>
    </w:pPr>
  </w:style>
  <w:style w:type="paragraph" w:styleId="TOC9">
    <w:name w:val="toc 9"/>
    <w:basedOn w:val="Normal"/>
    <w:next w:val="Normal"/>
    <w:autoRedefine/>
    <w:uiPriority w:val="39"/>
    <w:semiHidden/>
    <w:rsid w:val="003E3722"/>
    <w:pPr>
      <w:spacing w:after="100"/>
      <w:ind w:left="1600"/>
    </w:pPr>
  </w:style>
  <w:style w:type="paragraph" w:styleId="BalloonText">
    <w:name w:val="Balloon Text"/>
    <w:basedOn w:val="Normal"/>
    <w:link w:val="BalloonTextChar"/>
    <w:uiPriority w:val="99"/>
    <w:semiHidden/>
    <w:rsid w:val="003E372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3E3722"/>
    <w:rPr>
      <w:rFonts w:ascii="Verdana" w:hAnsi="Verdana" w:cs="Tahoma"/>
      <w:sz w:val="16"/>
      <w:szCs w:val="16"/>
    </w:rPr>
  </w:style>
  <w:style w:type="table" w:styleId="LightShading">
    <w:name w:val="Light Shading"/>
    <w:basedOn w:val="TableNormal"/>
    <w:uiPriority w:val="60"/>
    <w:rsid w:val="003E3722"/>
    <w:rPr>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E3722"/>
    <w:rPr>
      <w:color w:val="365F91" w:themeColor="accent1" w:themeShade="BF"/>
      <w:sz w:val="1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E3722"/>
    <w:rPr>
      <w:color w:val="943634" w:themeColor="accent2" w:themeShade="BF"/>
      <w:sz w:val="18"/>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E3722"/>
    <w:rPr>
      <w:color w:val="76923C" w:themeColor="accent3" w:themeShade="BF"/>
      <w:sz w:val="18"/>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E3722"/>
    <w:rPr>
      <w:color w:val="5F497A" w:themeColor="accent4" w:themeShade="BF"/>
      <w:sz w:val="18"/>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E3722"/>
    <w:rPr>
      <w:color w:val="31849B" w:themeColor="accent5" w:themeShade="BF"/>
      <w:sz w:val="18"/>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E3722"/>
    <w:rPr>
      <w:color w:val="E36C0A" w:themeColor="accent6" w:themeShade="BF"/>
      <w:sz w:val="18"/>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3E3722"/>
    <w:rPr>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E3722"/>
    <w:rPr>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E3722"/>
    <w:rPr>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E3722"/>
    <w:rPr>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E3722"/>
    <w:rPr>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E3722"/>
    <w:rPr>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3E3722"/>
    <w:rPr>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3E3722"/>
    <w:rPr>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E3722"/>
    <w:rPr>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3E3722"/>
    <w:rPr>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3E3722"/>
    <w:rPr>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3E3722"/>
    <w:rPr>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3E3722"/>
    <w:rPr>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3E3722"/>
    <w:rPr>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3E3722"/>
    <w:rPr>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3E3722"/>
    <w:pPr>
      <w:spacing w:after="120" w:line="288" w:lineRule="auto"/>
    </w:pPr>
    <w:rPr>
      <w:sz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3E3722"/>
    <w:pPr>
      <w:spacing w:after="120" w:line="288" w:lineRule="auto"/>
    </w:pPr>
    <w:rPr>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E3722"/>
    <w:pPr>
      <w:spacing w:after="120" w:line="288" w:lineRule="auto"/>
    </w:pPr>
    <w:rPr>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E3722"/>
    <w:pPr>
      <w:spacing w:after="120" w:line="288" w:lineRule="auto"/>
    </w:pPr>
    <w:rPr>
      <w:sz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E3722"/>
    <w:pPr>
      <w:spacing w:after="120" w:line="288" w:lineRule="auto"/>
    </w:pPr>
    <w:rPr>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E3722"/>
    <w:pPr>
      <w:spacing w:after="120" w:line="288" w:lineRule="auto"/>
    </w:pPr>
    <w:rPr>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E3722"/>
    <w:pPr>
      <w:spacing w:after="120" w:line="288" w:lineRule="auto"/>
    </w:pPr>
    <w:rPr>
      <w:sz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E3722"/>
    <w:pPr>
      <w:spacing w:after="120" w:line="288"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E3722"/>
    <w:pPr>
      <w:spacing w:after="120" w:line="288" w:lineRule="auto"/>
    </w:pPr>
    <w:rPr>
      <w:sz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E3722"/>
    <w:pPr>
      <w:spacing w:after="120" w:line="288" w:lineRule="auto"/>
    </w:pPr>
    <w:rPr>
      <w:sz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E3722"/>
    <w:pPr>
      <w:spacing w:after="120" w:line="288" w:lineRule="auto"/>
    </w:pPr>
    <w:rPr>
      <w:sz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E3722"/>
    <w:pPr>
      <w:spacing w:after="120" w:line="288" w:lineRule="auto"/>
    </w:pPr>
    <w:rPr>
      <w:sz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E3722"/>
    <w:pPr>
      <w:spacing w:after="120" w:line="288" w:lineRule="auto"/>
    </w:pPr>
    <w:rPr>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E3722"/>
    <w:pPr>
      <w:spacing w:after="120" w:line="288" w:lineRule="auto"/>
    </w:pPr>
    <w:rPr>
      <w:sz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E3722"/>
    <w:pPr>
      <w:spacing w:after="120" w:line="288" w:lineRule="auto"/>
    </w:pPr>
    <w:rPr>
      <w:sz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E3722"/>
    <w:pPr>
      <w:spacing w:after="120" w:line="288" w:lineRule="auto"/>
    </w:pPr>
    <w:rPr>
      <w:sz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E3722"/>
    <w:pPr>
      <w:spacing w:after="120" w:line="288" w:lineRule="auto"/>
    </w:pPr>
    <w:rPr>
      <w:sz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E3722"/>
    <w:pPr>
      <w:spacing w:after="120" w:line="288" w:lineRule="auto"/>
    </w:pPr>
    <w:rPr>
      <w:sz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uiPriority w:val="99"/>
    <w:semiHidden/>
    <w:rsid w:val="003E3722"/>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3E3722"/>
    <w:rPr>
      <w:rFonts w:ascii="Verdana" w:hAnsi="Verdana" w:cs="Tahoma"/>
      <w:sz w:val="16"/>
      <w:szCs w:val="16"/>
    </w:rPr>
  </w:style>
  <w:style w:type="table" w:styleId="MediumShading1-Accent1">
    <w:name w:val="Medium Shading 1 Accent 1"/>
    <w:basedOn w:val="TableNormal"/>
    <w:uiPriority w:val="63"/>
    <w:rsid w:val="003E3722"/>
    <w:rPr>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E3722"/>
    <w:rPr>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E3722"/>
    <w:rPr>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E3722"/>
    <w:rPr>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E3722"/>
    <w:rPr>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E3722"/>
    <w:rPr>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E3722"/>
    <w:rPr>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E3722"/>
    <w:rPr>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E3722"/>
    <w:rPr>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E3722"/>
    <w:rPr>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E3722"/>
    <w:rPr>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E3722"/>
    <w:rPr>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E3722"/>
    <w:rPr>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3E3722"/>
    <w:rPr>
      <w:color w:val="000000" w:themeColor="text1"/>
      <w:sz w:val="1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3E3722"/>
    <w:rPr>
      <w:color w:val="000000" w:themeColor="text1"/>
      <w:sz w:val="18"/>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E3722"/>
    <w:rPr>
      <w:color w:val="000000" w:themeColor="text1"/>
      <w:sz w:val="18"/>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3E3722"/>
    <w:rPr>
      <w:color w:val="000000" w:themeColor="text1"/>
      <w:sz w:val="18"/>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3E3722"/>
    <w:rPr>
      <w:color w:val="000000" w:themeColor="text1"/>
      <w:sz w:val="18"/>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3E3722"/>
    <w:rPr>
      <w:color w:val="000000" w:themeColor="text1"/>
      <w:sz w:val="18"/>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3E3722"/>
    <w:rPr>
      <w:color w:val="000000" w:themeColor="text1"/>
      <w:sz w:val="18"/>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1">
    <w:name w:val="Medium Grid 1"/>
    <w:basedOn w:val="TableNormal"/>
    <w:uiPriority w:val="67"/>
    <w:rsid w:val="003E3722"/>
    <w:rPr>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E3722"/>
    <w:rPr>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3E3722"/>
    <w:rPr>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3E3722"/>
    <w:rPr>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3E3722"/>
    <w:rPr>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3E3722"/>
    <w:rPr>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3E3722"/>
    <w:rPr>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2">
    <w:name w:val="Medium List 2"/>
    <w:basedOn w:val="TableNormal"/>
    <w:uiPriority w:val="66"/>
    <w:rsid w:val="003E3722"/>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E3722"/>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E3722"/>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E3722"/>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E3722"/>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E3722"/>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E3722"/>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3E3722"/>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E3722"/>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E3722"/>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E3722"/>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E3722"/>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E3722"/>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E3722"/>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E372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E372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3E372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3E372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3E372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3E372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3E372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3E3722"/>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E3722"/>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3E3722"/>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3E3722"/>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3E3722"/>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3E3722"/>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3E3722"/>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3E3722"/>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E3722"/>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E3722"/>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E3722"/>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3E3722"/>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E3722"/>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E3722"/>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3E372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E372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E372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3E3722"/>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3E3722"/>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3E3722"/>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3E3722"/>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3E3722"/>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E372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3E3722"/>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3E3722"/>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3E3722"/>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3E3722"/>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3E3722"/>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velopeAddress">
    <w:name w:val="envelope address"/>
    <w:basedOn w:val="Normal"/>
    <w:uiPriority w:val="99"/>
    <w:semiHidden/>
    <w:rsid w:val="003E3722"/>
    <w:pPr>
      <w:framePr w:w="7920" w:h="1980" w:hRule="exact" w:hSpace="180" w:wrap="auto" w:hAnchor="page" w:xAlign="center" w:yAlign="bottom"/>
      <w:spacing w:after="0" w:line="240" w:lineRule="auto"/>
      <w:ind w:left="2880"/>
    </w:pPr>
    <w:rPr>
      <w:rFonts w:eastAsiaTheme="majorEastAsia" w:cstheme="majorBidi"/>
      <w:szCs w:val="24"/>
    </w:rPr>
  </w:style>
  <w:style w:type="paragraph" w:styleId="EnvelopeReturn">
    <w:name w:val="envelope return"/>
    <w:basedOn w:val="Normal"/>
    <w:uiPriority w:val="99"/>
    <w:semiHidden/>
    <w:rsid w:val="003E3722"/>
    <w:pPr>
      <w:spacing w:after="0" w:line="240" w:lineRule="auto"/>
    </w:pPr>
    <w:rPr>
      <w:rFonts w:eastAsiaTheme="majorEastAsia" w:cstheme="majorBidi"/>
      <w:sz w:val="18"/>
      <w:szCs w:val="20"/>
    </w:rPr>
  </w:style>
  <w:style w:type="paragraph" w:styleId="Footer">
    <w:name w:val="footer"/>
    <w:basedOn w:val="Normal"/>
    <w:link w:val="FooterChar"/>
    <w:uiPriority w:val="99"/>
    <w:rsid w:val="003E3722"/>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3E3722"/>
    <w:rPr>
      <w:rFonts w:ascii="Verdana" w:hAnsi="Verdana" w:cs="Arial"/>
      <w:sz w:val="18"/>
      <w:szCs w:val="22"/>
    </w:rPr>
  </w:style>
  <w:style w:type="paragraph" w:styleId="FootnoteText">
    <w:name w:val="footnote text"/>
    <w:basedOn w:val="Normal"/>
    <w:link w:val="FootnoteTextChar"/>
    <w:uiPriority w:val="99"/>
    <w:semiHidden/>
    <w:rsid w:val="003E3722"/>
    <w:pPr>
      <w:spacing w:after="0" w:line="240" w:lineRule="auto"/>
    </w:pPr>
    <w:rPr>
      <w:sz w:val="18"/>
      <w:szCs w:val="20"/>
    </w:rPr>
  </w:style>
  <w:style w:type="character" w:customStyle="1" w:styleId="FootnoteTextChar">
    <w:name w:val="Footnote Text Char"/>
    <w:basedOn w:val="DefaultParagraphFont"/>
    <w:link w:val="FootnoteText"/>
    <w:uiPriority w:val="99"/>
    <w:semiHidden/>
    <w:rsid w:val="003E3722"/>
    <w:rPr>
      <w:rFonts w:ascii="Verdana" w:hAnsi="Verdana" w:cs="Arial"/>
      <w:sz w:val="18"/>
    </w:rPr>
  </w:style>
  <w:style w:type="paragraph" w:styleId="Index1">
    <w:name w:val="index 1"/>
    <w:basedOn w:val="Normal"/>
    <w:next w:val="Normal"/>
    <w:autoRedefine/>
    <w:uiPriority w:val="99"/>
    <w:semiHidden/>
    <w:rsid w:val="003E3722"/>
    <w:pPr>
      <w:spacing w:after="0" w:line="240" w:lineRule="auto"/>
      <w:ind w:left="200" w:hanging="200"/>
    </w:pPr>
  </w:style>
  <w:style w:type="paragraph" w:styleId="IndexHeading">
    <w:name w:val="index heading"/>
    <w:basedOn w:val="Normal"/>
    <w:next w:val="Index1"/>
    <w:uiPriority w:val="99"/>
    <w:semiHidden/>
    <w:rsid w:val="003E3722"/>
    <w:rPr>
      <w:rFonts w:eastAsiaTheme="majorEastAsia" w:cstheme="majorBidi"/>
      <w:b/>
      <w:bCs/>
      <w:sz w:val="18"/>
    </w:rPr>
  </w:style>
  <w:style w:type="paragraph" w:styleId="MessageHeader">
    <w:name w:val="Message Header"/>
    <w:basedOn w:val="Normal"/>
    <w:link w:val="MessageHeaderChar"/>
    <w:uiPriority w:val="99"/>
    <w:semiHidden/>
    <w:rsid w:val="003E37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Cs w:val="24"/>
    </w:rPr>
  </w:style>
  <w:style w:type="character" w:customStyle="1" w:styleId="MessageHeaderChar">
    <w:name w:val="Message Header Char"/>
    <w:basedOn w:val="DefaultParagraphFont"/>
    <w:link w:val="MessageHeader"/>
    <w:uiPriority w:val="99"/>
    <w:semiHidden/>
    <w:rsid w:val="003E3722"/>
    <w:rPr>
      <w:rFonts w:ascii="Verdana" w:eastAsiaTheme="majorEastAsia" w:hAnsi="Verdana" w:cstheme="majorBidi"/>
      <w:sz w:val="22"/>
      <w:szCs w:val="24"/>
      <w:shd w:val="pct20" w:color="auto" w:fill="auto"/>
    </w:rPr>
  </w:style>
  <w:style w:type="paragraph" w:styleId="NormalWeb">
    <w:name w:val="Normal (Web)"/>
    <w:basedOn w:val="Normal"/>
    <w:uiPriority w:val="99"/>
    <w:semiHidden/>
    <w:rsid w:val="003E3722"/>
    <w:rPr>
      <w:rFonts w:cs="Times New Roman"/>
      <w:szCs w:val="24"/>
    </w:rPr>
  </w:style>
  <w:style w:type="paragraph" w:styleId="PlainText">
    <w:name w:val="Plain Text"/>
    <w:basedOn w:val="Normal"/>
    <w:link w:val="PlainTextChar"/>
    <w:uiPriority w:val="99"/>
    <w:semiHidden/>
    <w:rsid w:val="003E3722"/>
    <w:pPr>
      <w:spacing w:after="0" w:line="240" w:lineRule="auto"/>
    </w:pPr>
    <w:rPr>
      <w:rFonts w:cs="Consolas"/>
      <w:szCs w:val="21"/>
    </w:rPr>
  </w:style>
  <w:style w:type="character" w:customStyle="1" w:styleId="PlainTextChar">
    <w:name w:val="Plain Text Char"/>
    <w:basedOn w:val="DefaultParagraphFont"/>
    <w:link w:val="PlainText"/>
    <w:uiPriority w:val="99"/>
    <w:semiHidden/>
    <w:rsid w:val="003E3722"/>
    <w:rPr>
      <w:rFonts w:ascii="Verdana" w:hAnsi="Verdana" w:cs="Consolas"/>
      <w:szCs w:val="21"/>
    </w:rPr>
  </w:style>
  <w:style w:type="table" w:styleId="Table3Deffects1">
    <w:name w:val="Table 3D effects 1"/>
    <w:basedOn w:val="TableNormal"/>
    <w:uiPriority w:val="99"/>
    <w:semiHidden/>
    <w:unhideWhenUsed/>
    <w:rsid w:val="003E3722"/>
    <w:pPr>
      <w:spacing w:after="120" w:line="288" w:lineRule="auto"/>
    </w:pPr>
    <w:rPr>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E3722"/>
    <w:pPr>
      <w:spacing w:after="120" w:line="288" w:lineRule="auto"/>
    </w:pPr>
    <w:rPr>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E3722"/>
    <w:pPr>
      <w:spacing w:after="120" w:line="288" w:lineRule="auto"/>
    </w:pPr>
    <w:rPr>
      <w:sz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E3722"/>
    <w:pPr>
      <w:spacing w:after="120" w:line="288" w:lineRule="auto"/>
    </w:pPr>
    <w:rPr>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E3722"/>
    <w:pPr>
      <w:spacing w:after="120" w:line="288" w:lineRule="auto"/>
    </w:pPr>
    <w:rPr>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E3722"/>
    <w:pPr>
      <w:spacing w:after="120" w:line="288" w:lineRule="auto"/>
    </w:pPr>
    <w:rPr>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E3722"/>
    <w:pPr>
      <w:spacing w:after="120" w:line="288" w:lineRule="auto"/>
    </w:pPr>
    <w:rPr>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E3722"/>
    <w:pPr>
      <w:spacing w:after="120" w:line="288" w:lineRule="auto"/>
    </w:pPr>
    <w:rPr>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E3722"/>
    <w:pPr>
      <w:spacing w:after="120" w:line="288" w:lineRule="auto"/>
    </w:pPr>
    <w:rPr>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E3722"/>
    <w:pPr>
      <w:spacing w:after="120" w:line="288" w:lineRule="auto"/>
    </w:pPr>
    <w:rPr>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E3722"/>
    <w:pPr>
      <w:spacing w:after="120" w:line="288" w:lineRule="auto"/>
    </w:pPr>
    <w:rPr>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E3722"/>
    <w:pPr>
      <w:spacing w:after="120" w:line="288" w:lineRule="auto"/>
    </w:pPr>
    <w:rPr>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E3722"/>
    <w:pPr>
      <w:spacing w:after="120" w:line="288" w:lineRule="auto"/>
    </w:pPr>
    <w:rPr>
      <w:b/>
      <w:bCs/>
      <w:sz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E3722"/>
    <w:pPr>
      <w:spacing w:after="120" w:line="288" w:lineRule="auto"/>
    </w:pPr>
    <w:rPr>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E3722"/>
    <w:pPr>
      <w:spacing w:after="120" w:line="288" w:lineRule="auto"/>
    </w:pPr>
    <w:rPr>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E3722"/>
    <w:pPr>
      <w:spacing w:after="120" w:line="288" w:lineRule="auto"/>
    </w:pPr>
    <w:rPr>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E3722"/>
    <w:pPr>
      <w:spacing w:after="120" w:line="288" w:lineRule="auto"/>
    </w:pPr>
    <w:rPr>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E3722"/>
    <w:pPr>
      <w:spacing w:after="120" w:line="288" w:lineRule="auto"/>
    </w:pPr>
    <w:rPr>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E3722"/>
    <w:pPr>
      <w:spacing w:after="120" w:line="288" w:lineRule="auto"/>
    </w:pPr>
    <w:rPr>
      <w:sz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E3722"/>
    <w:pPr>
      <w:spacing w:after="120" w:line="288" w:lineRule="auto"/>
    </w:pPr>
    <w:rPr>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E3722"/>
    <w:pPr>
      <w:spacing w:after="120" w:line="288" w:lineRule="auto"/>
    </w:pPr>
    <w:rPr>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E3722"/>
    <w:pPr>
      <w:spacing w:after="120" w:line="288" w:lineRule="auto"/>
    </w:pPr>
    <w:rPr>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E3722"/>
    <w:pPr>
      <w:spacing w:after="120" w:line="288" w:lineRule="auto"/>
    </w:pPr>
    <w:rPr>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E3722"/>
    <w:pPr>
      <w:spacing w:after="120" w:line="288" w:lineRule="auto"/>
    </w:pPr>
    <w:rPr>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E3722"/>
    <w:pPr>
      <w:spacing w:after="120" w:line="288" w:lineRule="auto"/>
    </w:pPr>
    <w:rPr>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3E3722"/>
    <w:pPr>
      <w:spacing w:before="120"/>
    </w:pPr>
    <w:rPr>
      <w:rFonts w:eastAsiaTheme="majorEastAsia" w:cstheme="majorBidi"/>
      <w:b/>
      <w:bCs/>
      <w:sz w:val="24"/>
      <w:szCs w:val="24"/>
    </w:rPr>
  </w:style>
  <w:style w:type="character" w:customStyle="1" w:styleId="Heading6Char">
    <w:name w:val="Heading 6 Char"/>
    <w:basedOn w:val="DefaultParagraphFont"/>
    <w:link w:val="Heading6"/>
    <w:uiPriority w:val="9"/>
    <w:semiHidden/>
    <w:rsid w:val="007F3ACD"/>
    <w:rPr>
      <w:rFonts w:ascii="Verdana" w:eastAsiaTheme="majorEastAsia" w:hAnsi="Verdana"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7F3ACD"/>
    <w:rPr>
      <w:rFonts w:ascii="Verdana" w:eastAsiaTheme="majorEastAsia" w:hAnsi="Verdana" w:cstheme="majorBidi"/>
      <w:i/>
      <w:iCs/>
      <w:color w:val="404040" w:themeColor="text1" w:themeTint="BF"/>
      <w:szCs w:val="22"/>
    </w:rPr>
  </w:style>
  <w:style w:type="character" w:customStyle="1" w:styleId="Heading8Char">
    <w:name w:val="Heading 8 Char"/>
    <w:basedOn w:val="DefaultParagraphFont"/>
    <w:link w:val="Heading8"/>
    <w:uiPriority w:val="9"/>
    <w:semiHidden/>
    <w:rsid w:val="007F3ACD"/>
    <w:rPr>
      <w:rFonts w:ascii="Verdana" w:eastAsiaTheme="majorEastAsia" w:hAnsi="Verdana" w:cstheme="majorBidi"/>
      <w:color w:val="404040" w:themeColor="text1" w:themeTint="BF"/>
    </w:rPr>
  </w:style>
  <w:style w:type="character" w:customStyle="1" w:styleId="Heading9Char">
    <w:name w:val="Heading 9 Char"/>
    <w:basedOn w:val="DefaultParagraphFont"/>
    <w:link w:val="Heading9"/>
    <w:uiPriority w:val="9"/>
    <w:semiHidden/>
    <w:rsid w:val="007F3ACD"/>
    <w:rPr>
      <w:rFonts w:ascii="Verdana" w:eastAsiaTheme="majorEastAsia" w:hAnsi="Verdana" w:cstheme="majorBidi"/>
      <w:i/>
      <w:iCs/>
      <w:color w:val="404040" w:themeColor="text1" w:themeTint="BF"/>
    </w:rPr>
  </w:style>
  <w:style w:type="character" w:styleId="HTMLKeyboard">
    <w:name w:val="HTML Keyboard"/>
    <w:basedOn w:val="DefaultParagraphFont"/>
    <w:uiPriority w:val="99"/>
    <w:semiHidden/>
    <w:rsid w:val="007F3ACD"/>
    <w:rPr>
      <w:rFonts w:ascii="Verdana" w:hAnsi="Verdana" w:cs="Consolas"/>
      <w:sz w:val="20"/>
      <w:szCs w:val="20"/>
    </w:rPr>
  </w:style>
  <w:style w:type="paragraph" w:styleId="HTMLPreformatted">
    <w:name w:val="HTML Preformatted"/>
    <w:basedOn w:val="Normal"/>
    <w:link w:val="HTMLPreformattedChar"/>
    <w:uiPriority w:val="99"/>
    <w:semiHidden/>
    <w:rsid w:val="007F3ACD"/>
    <w:pPr>
      <w:spacing w:after="0" w:line="240" w:lineRule="auto"/>
    </w:pPr>
    <w:rPr>
      <w:rFonts w:cs="Consolas"/>
      <w:szCs w:val="20"/>
    </w:rPr>
  </w:style>
  <w:style w:type="character" w:customStyle="1" w:styleId="HTMLPreformattedChar">
    <w:name w:val="HTML Preformatted Char"/>
    <w:basedOn w:val="DefaultParagraphFont"/>
    <w:link w:val="HTMLPreformatted"/>
    <w:uiPriority w:val="99"/>
    <w:semiHidden/>
    <w:rsid w:val="007F3ACD"/>
    <w:rPr>
      <w:rFonts w:ascii="Verdana" w:hAnsi="Verdana" w:cs="Consolas"/>
    </w:rPr>
  </w:style>
  <w:style w:type="character" w:styleId="HTMLSample">
    <w:name w:val="HTML Sample"/>
    <w:basedOn w:val="DefaultParagraphFont"/>
    <w:uiPriority w:val="99"/>
    <w:semiHidden/>
    <w:rsid w:val="007F3ACD"/>
    <w:rPr>
      <w:rFonts w:ascii="Verdana" w:hAnsi="Verdana" w:cs="Consolas"/>
      <w:sz w:val="24"/>
      <w:szCs w:val="24"/>
    </w:rPr>
  </w:style>
  <w:style w:type="character" w:styleId="HTMLTypewriter">
    <w:name w:val="HTML Typewriter"/>
    <w:basedOn w:val="DefaultParagraphFont"/>
    <w:uiPriority w:val="99"/>
    <w:semiHidden/>
    <w:rsid w:val="007F3ACD"/>
    <w:rPr>
      <w:rFonts w:ascii="Verdana" w:hAnsi="Verdana" w:cs="Consolas"/>
      <w:sz w:val="20"/>
      <w:szCs w:val="20"/>
    </w:rPr>
  </w:style>
  <w:style w:type="paragraph" w:styleId="MacroText">
    <w:name w:val="macro"/>
    <w:link w:val="MacroTextChar"/>
    <w:uiPriority w:val="99"/>
    <w:semiHidden/>
    <w:rsid w:val="007F3ACD"/>
    <w:pPr>
      <w:tabs>
        <w:tab w:val="left" w:pos="480"/>
        <w:tab w:val="left" w:pos="960"/>
        <w:tab w:val="left" w:pos="1440"/>
        <w:tab w:val="left" w:pos="1920"/>
        <w:tab w:val="left" w:pos="2400"/>
        <w:tab w:val="left" w:pos="2880"/>
        <w:tab w:val="left" w:pos="3360"/>
        <w:tab w:val="left" w:pos="3840"/>
        <w:tab w:val="left" w:pos="4320"/>
      </w:tabs>
      <w:spacing w:line="288" w:lineRule="auto"/>
    </w:pPr>
    <w:rPr>
      <w:rFonts w:cs="Consolas"/>
    </w:rPr>
  </w:style>
  <w:style w:type="character" w:customStyle="1" w:styleId="MacroTextChar">
    <w:name w:val="Macro Text Char"/>
    <w:basedOn w:val="DefaultParagraphFont"/>
    <w:link w:val="MacroText"/>
    <w:uiPriority w:val="99"/>
    <w:semiHidden/>
    <w:rsid w:val="007F3ACD"/>
    <w:rPr>
      <w:rFonts w:ascii="Verdana" w:hAnsi="Verdana" w:cs="Consolas"/>
    </w:rPr>
  </w:style>
  <w:style w:type="paragraph" w:styleId="CommentSubject">
    <w:name w:val="annotation subject"/>
    <w:basedOn w:val="CommentText"/>
    <w:next w:val="CommentText"/>
    <w:link w:val="CommentSubjectChar"/>
    <w:uiPriority w:val="99"/>
    <w:semiHidden/>
    <w:unhideWhenUsed/>
    <w:rsid w:val="00AF6E4F"/>
    <w:rPr>
      <w:b/>
      <w:bCs/>
    </w:rPr>
  </w:style>
  <w:style w:type="character" w:customStyle="1" w:styleId="CommentSubjectChar">
    <w:name w:val="Comment Subject Char"/>
    <w:basedOn w:val="CommentTextChar"/>
    <w:link w:val="CommentSubject"/>
    <w:uiPriority w:val="99"/>
    <w:semiHidden/>
    <w:rsid w:val="00AF6E4F"/>
    <w:rPr>
      <w:rFonts w:asciiTheme="minorHAnsi" w:eastAsiaTheme="minorHAnsi" w:hAnsiTheme="minorHAnsi" w:cstheme="minorBidi"/>
      <w:b/>
      <w:bCs/>
      <w:szCs w:val="20"/>
    </w:rPr>
  </w:style>
  <w:style w:type="character" w:styleId="FootnoteReference">
    <w:name w:val="footnote reference"/>
    <w:basedOn w:val="DefaultParagraphFont"/>
    <w:uiPriority w:val="99"/>
    <w:semiHidden/>
    <w:unhideWhenUsed/>
    <w:rsid w:val="00AF6E4F"/>
    <w:rPr>
      <w:vertAlign w:val="superscript"/>
    </w:rPr>
  </w:style>
  <w:style w:type="paragraph" w:styleId="Caption">
    <w:name w:val="caption"/>
    <w:basedOn w:val="Normal"/>
    <w:next w:val="Normal"/>
    <w:uiPriority w:val="35"/>
    <w:unhideWhenUsed/>
    <w:qFormat/>
    <w:rsid w:val="00AF6E4F"/>
    <w:pPr>
      <w:spacing w:after="200" w:line="240" w:lineRule="auto"/>
    </w:pPr>
    <w:rPr>
      <w:i/>
      <w:iCs/>
      <w:color w:val="1F497D" w:themeColor="text2"/>
      <w:sz w:val="18"/>
      <w:szCs w:val="18"/>
    </w:rPr>
  </w:style>
  <w:style w:type="paragraph" w:styleId="Revision">
    <w:name w:val="Revision"/>
    <w:hidden/>
    <w:uiPriority w:val="99"/>
    <w:semiHidden/>
    <w:rsid w:val="00AF6E4F"/>
    <w:rPr>
      <w:rFonts w:asciiTheme="minorHAnsi" w:eastAsiaTheme="minorHAnsi" w:hAnsiTheme="minorHAnsi" w:cstheme="minorBidi"/>
      <w:sz w:val="22"/>
    </w:rPr>
  </w:style>
  <w:style w:type="paragraph" w:styleId="Header">
    <w:name w:val="header"/>
    <w:basedOn w:val="Normal"/>
    <w:link w:val="HeaderChar"/>
    <w:uiPriority w:val="99"/>
    <w:unhideWhenUsed/>
    <w:rsid w:val="00AF6E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6E4F"/>
    <w:rPr>
      <w:rFonts w:asciiTheme="minorHAnsi" w:eastAsiaTheme="minorHAnsi" w:hAnsiTheme="minorHAnsi" w:cstheme="minorBidi"/>
      <w:sz w:val="22"/>
    </w:rPr>
  </w:style>
  <w:style w:type="character" w:styleId="Hyperlink">
    <w:name w:val="Hyperlink"/>
    <w:basedOn w:val="DefaultParagraphFont"/>
    <w:uiPriority w:val="99"/>
    <w:unhideWhenUsed/>
    <w:rsid w:val="00AF6E4F"/>
    <w:rPr>
      <w:color w:val="0563C1"/>
      <w:u w:val="single"/>
    </w:rPr>
  </w:style>
  <w:style w:type="table" w:styleId="GridTable1Light-Accent1">
    <w:name w:val="Grid Table 1 Light Accent 1"/>
    <w:basedOn w:val="TableNormal"/>
    <w:uiPriority w:val="46"/>
    <w:rsid w:val="0022793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CD31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401649">
      <w:bodyDiv w:val="1"/>
      <w:marLeft w:val="0"/>
      <w:marRight w:val="0"/>
      <w:marTop w:val="0"/>
      <w:marBottom w:val="0"/>
      <w:divBdr>
        <w:top w:val="none" w:sz="0" w:space="0" w:color="auto"/>
        <w:left w:val="none" w:sz="0" w:space="0" w:color="auto"/>
        <w:bottom w:val="none" w:sz="0" w:space="0" w:color="auto"/>
        <w:right w:val="none" w:sz="0" w:space="0" w:color="auto"/>
      </w:divBdr>
    </w:div>
    <w:div w:id="408817964">
      <w:bodyDiv w:val="1"/>
      <w:marLeft w:val="0"/>
      <w:marRight w:val="0"/>
      <w:marTop w:val="0"/>
      <w:marBottom w:val="0"/>
      <w:divBdr>
        <w:top w:val="none" w:sz="0" w:space="0" w:color="auto"/>
        <w:left w:val="none" w:sz="0" w:space="0" w:color="auto"/>
        <w:bottom w:val="none" w:sz="0" w:space="0" w:color="auto"/>
        <w:right w:val="none" w:sz="0" w:space="0" w:color="auto"/>
      </w:divBdr>
    </w:div>
    <w:div w:id="434180953">
      <w:bodyDiv w:val="1"/>
      <w:marLeft w:val="0"/>
      <w:marRight w:val="0"/>
      <w:marTop w:val="0"/>
      <w:marBottom w:val="0"/>
      <w:divBdr>
        <w:top w:val="none" w:sz="0" w:space="0" w:color="auto"/>
        <w:left w:val="none" w:sz="0" w:space="0" w:color="auto"/>
        <w:bottom w:val="none" w:sz="0" w:space="0" w:color="auto"/>
        <w:right w:val="none" w:sz="0" w:space="0" w:color="auto"/>
      </w:divBdr>
    </w:div>
    <w:div w:id="483858764">
      <w:bodyDiv w:val="1"/>
      <w:marLeft w:val="0"/>
      <w:marRight w:val="0"/>
      <w:marTop w:val="0"/>
      <w:marBottom w:val="0"/>
      <w:divBdr>
        <w:top w:val="none" w:sz="0" w:space="0" w:color="auto"/>
        <w:left w:val="none" w:sz="0" w:space="0" w:color="auto"/>
        <w:bottom w:val="none" w:sz="0" w:space="0" w:color="auto"/>
        <w:right w:val="none" w:sz="0" w:space="0" w:color="auto"/>
      </w:divBdr>
    </w:div>
    <w:div w:id="676268391">
      <w:bodyDiv w:val="1"/>
      <w:marLeft w:val="0"/>
      <w:marRight w:val="0"/>
      <w:marTop w:val="0"/>
      <w:marBottom w:val="0"/>
      <w:divBdr>
        <w:top w:val="none" w:sz="0" w:space="0" w:color="auto"/>
        <w:left w:val="none" w:sz="0" w:space="0" w:color="auto"/>
        <w:bottom w:val="none" w:sz="0" w:space="0" w:color="auto"/>
        <w:right w:val="none" w:sz="0" w:space="0" w:color="auto"/>
      </w:divBdr>
    </w:div>
    <w:div w:id="679354338">
      <w:bodyDiv w:val="1"/>
      <w:marLeft w:val="0"/>
      <w:marRight w:val="0"/>
      <w:marTop w:val="0"/>
      <w:marBottom w:val="0"/>
      <w:divBdr>
        <w:top w:val="none" w:sz="0" w:space="0" w:color="auto"/>
        <w:left w:val="none" w:sz="0" w:space="0" w:color="auto"/>
        <w:bottom w:val="none" w:sz="0" w:space="0" w:color="auto"/>
        <w:right w:val="none" w:sz="0" w:space="0" w:color="auto"/>
      </w:divBdr>
    </w:div>
    <w:div w:id="897980684">
      <w:bodyDiv w:val="1"/>
      <w:marLeft w:val="0"/>
      <w:marRight w:val="0"/>
      <w:marTop w:val="0"/>
      <w:marBottom w:val="0"/>
      <w:divBdr>
        <w:top w:val="none" w:sz="0" w:space="0" w:color="auto"/>
        <w:left w:val="none" w:sz="0" w:space="0" w:color="auto"/>
        <w:bottom w:val="none" w:sz="0" w:space="0" w:color="auto"/>
        <w:right w:val="none" w:sz="0" w:space="0" w:color="auto"/>
      </w:divBdr>
    </w:div>
    <w:div w:id="956449576">
      <w:bodyDiv w:val="1"/>
      <w:marLeft w:val="0"/>
      <w:marRight w:val="0"/>
      <w:marTop w:val="0"/>
      <w:marBottom w:val="0"/>
      <w:divBdr>
        <w:top w:val="none" w:sz="0" w:space="0" w:color="auto"/>
        <w:left w:val="none" w:sz="0" w:space="0" w:color="auto"/>
        <w:bottom w:val="none" w:sz="0" w:space="0" w:color="auto"/>
        <w:right w:val="none" w:sz="0" w:space="0" w:color="auto"/>
      </w:divBdr>
    </w:div>
    <w:div w:id="1273592554">
      <w:bodyDiv w:val="1"/>
      <w:marLeft w:val="0"/>
      <w:marRight w:val="0"/>
      <w:marTop w:val="0"/>
      <w:marBottom w:val="0"/>
      <w:divBdr>
        <w:top w:val="none" w:sz="0" w:space="0" w:color="auto"/>
        <w:left w:val="none" w:sz="0" w:space="0" w:color="auto"/>
        <w:bottom w:val="none" w:sz="0" w:space="0" w:color="auto"/>
        <w:right w:val="none" w:sz="0" w:space="0" w:color="auto"/>
      </w:divBdr>
    </w:div>
    <w:div w:id="1769082159">
      <w:bodyDiv w:val="1"/>
      <w:marLeft w:val="0"/>
      <w:marRight w:val="0"/>
      <w:marTop w:val="0"/>
      <w:marBottom w:val="0"/>
      <w:divBdr>
        <w:top w:val="none" w:sz="0" w:space="0" w:color="auto"/>
        <w:left w:val="none" w:sz="0" w:space="0" w:color="auto"/>
        <w:bottom w:val="none" w:sz="0" w:space="0" w:color="auto"/>
        <w:right w:val="none" w:sz="0" w:space="0" w:color="auto"/>
      </w:divBdr>
    </w:div>
    <w:div w:id="1984692478">
      <w:bodyDiv w:val="1"/>
      <w:marLeft w:val="0"/>
      <w:marRight w:val="0"/>
      <w:marTop w:val="0"/>
      <w:marBottom w:val="0"/>
      <w:divBdr>
        <w:top w:val="none" w:sz="0" w:space="0" w:color="auto"/>
        <w:left w:val="none" w:sz="0" w:space="0" w:color="auto"/>
        <w:bottom w:val="none" w:sz="0" w:space="0" w:color="auto"/>
        <w:right w:val="none" w:sz="0" w:space="0" w:color="auto"/>
      </w:divBdr>
    </w:div>
    <w:div w:id="207994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gif"/><Relationship Id="rId26" Type="http://schemas.openxmlformats.org/officeDocument/2006/relationships/image" Target="media/image12.png"/><Relationship Id="rId39" Type="http://schemas.openxmlformats.org/officeDocument/2006/relationships/chart" Target="charts/chart12.xml"/><Relationship Id="rId21" Type="http://schemas.openxmlformats.org/officeDocument/2006/relationships/hyperlink" Target="https://www.educationcounts.govt.nz/indicators/main/student-engagement-participation/transient-students" TargetMode="External"/><Relationship Id="rId34" Type="http://schemas.openxmlformats.org/officeDocument/2006/relationships/chart" Target="charts/chart7.xml"/><Relationship Id="rId42" Type="http://schemas.openxmlformats.org/officeDocument/2006/relationships/image" Target="media/image17.png"/><Relationship Id="rId47" Type="http://schemas.openxmlformats.org/officeDocument/2006/relationships/header" Target="header1.xml"/><Relationship Id="rId50" Type="http://schemas.openxmlformats.org/officeDocument/2006/relationships/image" Target="media/image24.png"/><Relationship Id="rId55" Type="http://schemas.openxmlformats.org/officeDocument/2006/relationships/hyperlink" Target="http://nzdotstat.stats.govt.nz/OECDStat_Metadata/ShowMetadata.ashx?Dataset=TABLECODE7566&amp;Coords=%5bAREA%5d.%5bNIRC%5d&amp;ShowOnWeb=true&amp;Lang=e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0.png"/><Relationship Id="rId29" Type="http://schemas.openxmlformats.org/officeDocument/2006/relationships/chart" Target="charts/chart3.xml"/><Relationship Id="rId41" Type="http://schemas.openxmlformats.org/officeDocument/2006/relationships/image" Target="media/image16.png"/><Relationship Id="rId54" Type="http://schemas.openxmlformats.org/officeDocument/2006/relationships/hyperlink" Target="http://nzdotstat.stats.govt.nz/OECDStat_Metadata/ShowMetadata.ashx?Dataset=TABLECODE7566&amp;Coords=%5bETHNICITY%5d.%5bEUROTHER%5d&amp;ShowOnWeb=true&amp;Lang=e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image" Target="media/image15.png"/><Relationship Id="rId45" Type="http://schemas.openxmlformats.org/officeDocument/2006/relationships/image" Target="cid:image003.png@01D768E7.C4AF8410" TargetMode="External"/><Relationship Id="rId53" Type="http://schemas.openxmlformats.org/officeDocument/2006/relationships/hyperlink" Target="http://nzdotstat.stats.govt.nz/OECDStat_Metadata/ShowMetadata.ashx?Dataset=TABLECODE7566&amp;Coords=%5bETHNICITY%5d.%5bEUROTHER%5d&amp;ShowOnWeb=true&amp;Lang=en" TargetMode="External"/><Relationship Id="rId58" Type="http://schemas.openxmlformats.org/officeDocument/2006/relationships/hyperlink" Target="http://nzdotstat.stats.govt.nz/OECDStat_Metadata/ShowMetadata.ashx?Dataset=TABLECODE7566&amp;Coords=%5bETHNICITY%5d.%5bEUROTHER%5d&amp;ShowOnWeb=true&amp;Lang=en" TargetMode="External"/><Relationship Id="rId5" Type="http://schemas.openxmlformats.org/officeDocument/2006/relationships/webSettings" Target="webSettings.xml"/><Relationship Id="rId15" Type="http://schemas.openxmlformats.org/officeDocument/2006/relationships/hyperlink" Target="https://www.educationcounts.govt.nz/statistics/attendance" TargetMode="External"/><Relationship Id="rId23" Type="http://schemas.openxmlformats.org/officeDocument/2006/relationships/chart" Target="charts/chart2.xml"/><Relationship Id="rId28" Type="http://schemas.openxmlformats.org/officeDocument/2006/relationships/image" Target="media/image13.png"/><Relationship Id="rId36" Type="http://schemas.openxmlformats.org/officeDocument/2006/relationships/chart" Target="charts/chart9.xml"/><Relationship Id="rId49" Type="http://schemas.openxmlformats.org/officeDocument/2006/relationships/image" Target="media/image23.png"/><Relationship Id="rId57" Type="http://schemas.openxmlformats.org/officeDocument/2006/relationships/hyperlink" Target="http://nzdotstat.stats.govt.nz/OECDStat_Metadata/ShowMetadata.ashx?Dataset=TABLECODE7566&amp;Coords=%5bETHNICITY%5d.%5bEUROTHER%5d&amp;ShowOnWeb=true&amp;Lang=en" TargetMode="Externa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educationcounts.govt.nz/indicators/main/student-engagement-participation/Stand-downs-suspensions-exclusions-expulsions" TargetMode="External"/><Relationship Id="rId31" Type="http://schemas.openxmlformats.org/officeDocument/2006/relationships/chart" Target="charts/chart4.xm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hyperlink" Target="http://nzdotstat.stats.govt.nz/OECDStat_Metadata/ShowMetadata.ashx?Dataset=TABLECODE7566&amp;Coords=%5bAREA%5d.%5bSIRC%5d&amp;ShowOnWeb=true&amp;Lang=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hyperlink" Target="http://www.educationcounts.govt.nz/statistics/post-compulsory-education-and-training" TargetMode="External"/><Relationship Id="rId30" Type="http://schemas.openxmlformats.org/officeDocument/2006/relationships/image" Target="media/image14.png"/><Relationship Id="rId35" Type="http://schemas.openxmlformats.org/officeDocument/2006/relationships/chart" Target="charts/chart8.xml"/><Relationship Id="rId43" Type="http://schemas.openxmlformats.org/officeDocument/2006/relationships/image" Target="cid:image002.png@01D768E7.C4AF8410" TargetMode="External"/><Relationship Id="rId48" Type="http://schemas.openxmlformats.org/officeDocument/2006/relationships/image" Target="media/image22.png"/><Relationship Id="rId56" Type="http://schemas.openxmlformats.org/officeDocument/2006/relationships/hyperlink" Target="http://nzdotstat.stats.govt.nz/OECDStat_Metadata/ShowMetadata.ashx?Dataset=TABLECODE7566&amp;Coords=%5bAREA%5d.%5bSIRC%5d&amp;ShowOnWeb=true&amp;Lang=en" TargetMode="Externa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cid:image001.png@01D76831.F65C0170" TargetMode="External"/><Relationship Id="rId25" Type="http://schemas.openxmlformats.org/officeDocument/2006/relationships/hyperlink" Target="http://www.educationcounts.govt.nz/statistics/post-compulsory-education-and-training" TargetMode="Externa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footer" Target="footer1.xml"/><Relationship Id="rId59" Type="http://schemas.openxmlformats.org/officeDocument/2006/relationships/hyperlink" Target="http://nzdotstat.stats.govt.nz/OECDStat_Metadata/ShowMetadata.ashx?Dataset=TABLECODE7566&amp;Coords=%5bAREA%5d.%5bNIRC%5d&amp;ShowOnWeb=true&amp;Lang=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productivity.govt.nz/assets/Documents/6e7cb6e142/social-services-final-report-summary.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g"/><Relationship Id="rId2" Type="http://schemas.microsoft.com/office/2007/relationships/hdphoto" Target="media/hdphoto1.wdp"/><Relationship Id="rId1" Type="http://schemas.openxmlformats.org/officeDocument/2006/relationships/image" Target="media/image19.png"/><Relationship Id="rId5" Type="http://schemas.microsoft.com/office/2007/relationships/hdphoto" Target="media/hdphoto2.wdp"/><Relationship Id="rId4"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amess2\Downloads\HLF000701_20210623_050247_46.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amess2\Downloads\7a367bba-3bcc-41d7-962d-647f329b0af4.xls"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amess2\Downloads\7a367bba-3bcc-41d7-962d-647f329b0af4.xls"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amess2\Downloads\7a367bba-3bcc-41d7-962d-647f329b0af4.xls"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amess2\Downloads\HLF000701_20210623_050247_46.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amess2\AppData\Local\Microsoft\Windows\INetCache\Content.Outlook\QR05SR8X\NEET%20seasonally%20adjusted%20quarterly%20by%20sex%20from%20200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amess2\Downloads\household-labour-force-survey-march-2021-quarter-supplementary-tables%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lync002\Downloads\quarterly-benefit-fact-sheets-national-benefit-tables-march-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lync002\Downloads\quarterly-benefit-fact-sheets-national-benefit-tables-march-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amess2\Downloads\7a367bba-3bcc-41d7-962d-647f329b0af4.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amess2\Downloads\7a367bba-3bcc-41d7-962d-647f329b0af4.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amess2\Downloads\7a367bba-3bcc-41d7-962d-647f329b0af4.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r>
              <a:rPr lang="en-NZ" sz="2000" b="1"/>
              <a:t>Employment by</a:t>
            </a:r>
            <a:r>
              <a:rPr lang="en-NZ" sz="2000" b="1" baseline="0"/>
              <a:t> Age and Gender: </a:t>
            </a:r>
          </a:p>
          <a:p>
            <a:pPr>
              <a:defRPr sz="2000"/>
            </a:pPr>
            <a:r>
              <a:rPr lang="en-NZ" sz="2000" b="1" baseline="0"/>
              <a:t>1986 - 2021</a:t>
            </a:r>
            <a:endParaRPr lang="en-NZ" sz="2000" b="1"/>
          </a:p>
        </c:rich>
      </c:tx>
      <c:overlay val="0"/>
      <c:spPr>
        <a:noFill/>
        <a:ln>
          <a:noFill/>
        </a:ln>
        <a:effectLst/>
      </c:spPr>
      <c:txPr>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145097247459452"/>
          <c:y val="0.22716171617161715"/>
          <c:w val="0.82783959697345522"/>
          <c:h val="0.45510459707388062"/>
        </c:manualLayout>
      </c:layout>
      <c:lineChart>
        <c:grouping val="standard"/>
        <c:varyColors val="0"/>
        <c:ser>
          <c:idx val="1"/>
          <c:order val="0"/>
          <c:tx>
            <c:v>Male 15 - 19</c:v>
          </c:tx>
          <c:spPr>
            <a:ln w="28575" cap="rnd">
              <a:solidFill>
                <a:schemeClr val="accent2"/>
              </a:solidFill>
              <a:round/>
            </a:ln>
            <a:effectLst/>
          </c:spPr>
          <c:marker>
            <c:symbol val="none"/>
          </c:marker>
          <c:cat>
            <c:strRef>
              <c:f>matrix!$A$5:$A$145</c:f>
              <c:strCache>
                <c:ptCount val="141"/>
                <c:pt idx="0">
                  <c:v>1986Q1</c:v>
                </c:pt>
                <c:pt idx="1">
                  <c:v>1986Q2</c:v>
                </c:pt>
                <c:pt idx="2">
                  <c:v>1986Q3</c:v>
                </c:pt>
                <c:pt idx="3">
                  <c:v>1986Q4</c:v>
                </c:pt>
                <c:pt idx="4">
                  <c:v>1987Q1</c:v>
                </c:pt>
                <c:pt idx="5">
                  <c:v>1987Q2</c:v>
                </c:pt>
                <c:pt idx="6">
                  <c:v>1987Q3</c:v>
                </c:pt>
                <c:pt idx="7">
                  <c:v>1987Q4</c:v>
                </c:pt>
                <c:pt idx="8">
                  <c:v>1988Q1</c:v>
                </c:pt>
                <c:pt idx="9">
                  <c:v>1988Q2</c:v>
                </c:pt>
                <c:pt idx="10">
                  <c:v>1988Q3</c:v>
                </c:pt>
                <c:pt idx="11">
                  <c:v>1988Q4</c:v>
                </c:pt>
                <c:pt idx="12">
                  <c:v>1989Q1</c:v>
                </c:pt>
                <c:pt idx="13">
                  <c:v>1989Q2</c:v>
                </c:pt>
                <c:pt idx="14">
                  <c:v>1989Q3</c:v>
                </c:pt>
                <c:pt idx="15">
                  <c:v>1989Q4</c:v>
                </c:pt>
                <c:pt idx="16">
                  <c:v>1990Q1</c:v>
                </c:pt>
                <c:pt idx="17">
                  <c:v>1990Q2</c:v>
                </c:pt>
                <c:pt idx="18">
                  <c:v>1990Q3</c:v>
                </c:pt>
                <c:pt idx="19">
                  <c:v>1990Q4</c:v>
                </c:pt>
                <c:pt idx="20">
                  <c:v>1991Q1</c:v>
                </c:pt>
                <c:pt idx="21">
                  <c:v>1991Q2</c:v>
                </c:pt>
                <c:pt idx="22">
                  <c:v>1991Q3</c:v>
                </c:pt>
                <c:pt idx="23">
                  <c:v>1991Q4</c:v>
                </c:pt>
                <c:pt idx="24">
                  <c:v>1992Q1</c:v>
                </c:pt>
                <c:pt idx="25">
                  <c:v>1992Q2</c:v>
                </c:pt>
                <c:pt idx="26">
                  <c:v>1992Q3</c:v>
                </c:pt>
                <c:pt idx="27">
                  <c:v>1992Q4</c:v>
                </c:pt>
                <c:pt idx="28">
                  <c:v>1993Q1</c:v>
                </c:pt>
                <c:pt idx="29">
                  <c:v>1993Q2</c:v>
                </c:pt>
                <c:pt idx="30">
                  <c:v>1993Q3</c:v>
                </c:pt>
                <c:pt idx="31">
                  <c:v>1993Q4</c:v>
                </c:pt>
                <c:pt idx="32">
                  <c:v>1994Q1</c:v>
                </c:pt>
                <c:pt idx="33">
                  <c:v>1994Q2</c:v>
                </c:pt>
                <c:pt idx="34">
                  <c:v>1994Q3</c:v>
                </c:pt>
                <c:pt idx="35">
                  <c:v>1994Q4</c:v>
                </c:pt>
                <c:pt idx="36">
                  <c:v>1995Q1</c:v>
                </c:pt>
                <c:pt idx="37">
                  <c:v>1995Q2</c:v>
                </c:pt>
                <c:pt idx="38">
                  <c:v>1995Q3</c:v>
                </c:pt>
                <c:pt idx="39">
                  <c:v>1995Q4</c:v>
                </c:pt>
                <c:pt idx="40">
                  <c:v>1996Q1</c:v>
                </c:pt>
                <c:pt idx="41">
                  <c:v>1996Q2</c:v>
                </c:pt>
                <c:pt idx="42">
                  <c:v>1996Q3</c:v>
                </c:pt>
                <c:pt idx="43">
                  <c:v>1996Q4</c:v>
                </c:pt>
                <c:pt idx="44">
                  <c:v>1997Q1</c:v>
                </c:pt>
                <c:pt idx="45">
                  <c:v>1997Q2</c:v>
                </c:pt>
                <c:pt idx="46">
                  <c:v>1997Q3</c:v>
                </c:pt>
                <c:pt idx="47">
                  <c:v>1997Q4</c:v>
                </c:pt>
                <c:pt idx="48">
                  <c:v>1998Q1</c:v>
                </c:pt>
                <c:pt idx="49">
                  <c:v>1998Q2</c:v>
                </c:pt>
                <c:pt idx="50">
                  <c:v>1998Q3</c:v>
                </c:pt>
                <c:pt idx="51">
                  <c:v>1998Q4</c:v>
                </c:pt>
                <c:pt idx="52">
                  <c:v>1999Q1</c:v>
                </c:pt>
                <c:pt idx="53">
                  <c:v>1999Q2</c:v>
                </c:pt>
                <c:pt idx="54">
                  <c:v>1999Q3</c:v>
                </c:pt>
                <c:pt idx="55">
                  <c:v>1999Q4</c:v>
                </c:pt>
                <c:pt idx="56">
                  <c:v>2000Q1</c:v>
                </c:pt>
                <c:pt idx="57">
                  <c:v>2000Q2</c:v>
                </c:pt>
                <c:pt idx="58">
                  <c:v>2000Q3</c:v>
                </c:pt>
                <c:pt idx="59">
                  <c:v>2000Q4</c:v>
                </c:pt>
                <c:pt idx="60">
                  <c:v>2001Q1</c:v>
                </c:pt>
                <c:pt idx="61">
                  <c:v>2001Q2</c:v>
                </c:pt>
                <c:pt idx="62">
                  <c:v>2001Q3</c:v>
                </c:pt>
                <c:pt idx="63">
                  <c:v>2001Q4</c:v>
                </c:pt>
                <c:pt idx="64">
                  <c:v>2002Q1</c:v>
                </c:pt>
                <c:pt idx="65">
                  <c:v>2002Q2</c:v>
                </c:pt>
                <c:pt idx="66">
                  <c:v>2002Q3</c:v>
                </c:pt>
                <c:pt idx="67">
                  <c:v>2002Q4</c:v>
                </c:pt>
                <c:pt idx="68">
                  <c:v>2003Q1</c:v>
                </c:pt>
                <c:pt idx="69">
                  <c:v>2003Q2</c:v>
                </c:pt>
                <c:pt idx="70">
                  <c:v>2003Q3</c:v>
                </c:pt>
                <c:pt idx="71">
                  <c:v>2003Q4</c:v>
                </c:pt>
                <c:pt idx="72">
                  <c:v>2004Q1</c:v>
                </c:pt>
                <c:pt idx="73">
                  <c:v>2004Q2</c:v>
                </c:pt>
                <c:pt idx="74">
                  <c:v>2004Q3</c:v>
                </c:pt>
                <c:pt idx="75">
                  <c:v>2004Q4</c:v>
                </c:pt>
                <c:pt idx="76">
                  <c:v>2005Q1</c:v>
                </c:pt>
                <c:pt idx="77">
                  <c:v>2005Q2</c:v>
                </c:pt>
                <c:pt idx="78">
                  <c:v>2005Q3</c:v>
                </c:pt>
                <c:pt idx="79">
                  <c:v>2005Q4</c:v>
                </c:pt>
                <c:pt idx="80">
                  <c:v>2006Q1</c:v>
                </c:pt>
                <c:pt idx="81">
                  <c:v>2006Q2</c:v>
                </c:pt>
                <c:pt idx="82">
                  <c:v>2006Q3</c:v>
                </c:pt>
                <c:pt idx="83">
                  <c:v>2006Q4</c:v>
                </c:pt>
                <c:pt idx="84">
                  <c:v>2007Q1</c:v>
                </c:pt>
                <c:pt idx="85">
                  <c:v>2007Q2</c:v>
                </c:pt>
                <c:pt idx="86">
                  <c:v>2007Q3</c:v>
                </c:pt>
                <c:pt idx="87">
                  <c:v>2007Q4</c:v>
                </c:pt>
                <c:pt idx="88">
                  <c:v>2008Q1</c:v>
                </c:pt>
                <c:pt idx="89">
                  <c:v>2008Q2</c:v>
                </c:pt>
                <c:pt idx="90">
                  <c:v>2008Q3</c:v>
                </c:pt>
                <c:pt idx="91">
                  <c:v>2008Q4</c:v>
                </c:pt>
                <c:pt idx="92">
                  <c:v>2009Q1</c:v>
                </c:pt>
                <c:pt idx="93">
                  <c:v>2009Q2</c:v>
                </c:pt>
                <c:pt idx="94">
                  <c:v>2009Q3</c:v>
                </c:pt>
                <c:pt idx="95">
                  <c:v>2009Q4</c:v>
                </c:pt>
                <c:pt idx="96">
                  <c:v>2010Q1</c:v>
                </c:pt>
                <c:pt idx="97">
                  <c:v>2010Q2</c:v>
                </c:pt>
                <c:pt idx="98">
                  <c:v>2010Q3</c:v>
                </c:pt>
                <c:pt idx="99">
                  <c:v>2010Q4</c:v>
                </c:pt>
                <c:pt idx="100">
                  <c:v>2011Q1</c:v>
                </c:pt>
                <c:pt idx="101">
                  <c:v>2011Q2</c:v>
                </c:pt>
                <c:pt idx="102">
                  <c:v>2011Q3</c:v>
                </c:pt>
                <c:pt idx="103">
                  <c:v>2011Q4</c:v>
                </c:pt>
                <c:pt idx="104">
                  <c:v>2012Q1</c:v>
                </c:pt>
                <c:pt idx="105">
                  <c:v>2012Q2</c:v>
                </c:pt>
                <c:pt idx="106">
                  <c:v>2012Q3</c:v>
                </c:pt>
                <c:pt idx="107">
                  <c:v>2012Q4</c:v>
                </c:pt>
                <c:pt idx="108">
                  <c:v>2013Q1</c:v>
                </c:pt>
                <c:pt idx="109">
                  <c:v>2013Q2</c:v>
                </c:pt>
                <c:pt idx="110">
                  <c:v>2013Q3</c:v>
                </c:pt>
                <c:pt idx="111">
                  <c:v>2013Q4</c:v>
                </c:pt>
                <c:pt idx="112">
                  <c:v>2014Q1</c:v>
                </c:pt>
                <c:pt idx="113">
                  <c:v>2014Q2</c:v>
                </c:pt>
                <c:pt idx="114">
                  <c:v>2014Q3</c:v>
                </c:pt>
                <c:pt idx="115">
                  <c:v>2014Q4</c:v>
                </c:pt>
                <c:pt idx="116">
                  <c:v>2015Q1</c:v>
                </c:pt>
                <c:pt idx="117">
                  <c:v>2015Q2</c:v>
                </c:pt>
                <c:pt idx="118">
                  <c:v>2015Q3</c:v>
                </c:pt>
                <c:pt idx="119">
                  <c:v>2015Q4</c:v>
                </c:pt>
                <c:pt idx="120">
                  <c:v>2016Q1</c:v>
                </c:pt>
                <c:pt idx="121">
                  <c:v>2016Q2</c:v>
                </c:pt>
                <c:pt idx="122">
                  <c:v>2016Q3</c:v>
                </c:pt>
                <c:pt idx="123">
                  <c:v>2016Q4</c:v>
                </c:pt>
                <c:pt idx="124">
                  <c:v>2017Q1</c:v>
                </c:pt>
                <c:pt idx="125">
                  <c:v>2017Q2</c:v>
                </c:pt>
                <c:pt idx="126">
                  <c:v>2017Q3</c:v>
                </c:pt>
                <c:pt idx="127">
                  <c:v>2017Q4</c:v>
                </c:pt>
                <c:pt idx="128">
                  <c:v>2018Q1</c:v>
                </c:pt>
                <c:pt idx="129">
                  <c:v>2018Q2</c:v>
                </c:pt>
                <c:pt idx="130">
                  <c:v>2018Q3</c:v>
                </c:pt>
                <c:pt idx="131">
                  <c:v>2018Q4</c:v>
                </c:pt>
                <c:pt idx="132">
                  <c:v>2019Q1</c:v>
                </c:pt>
                <c:pt idx="133">
                  <c:v>2019Q2</c:v>
                </c:pt>
                <c:pt idx="134">
                  <c:v>2019Q3</c:v>
                </c:pt>
                <c:pt idx="135">
                  <c:v>2019Q4</c:v>
                </c:pt>
                <c:pt idx="136">
                  <c:v>2020Q1</c:v>
                </c:pt>
                <c:pt idx="137">
                  <c:v>2020Q2</c:v>
                </c:pt>
                <c:pt idx="138">
                  <c:v>2020Q3</c:v>
                </c:pt>
                <c:pt idx="139">
                  <c:v>2020Q4</c:v>
                </c:pt>
                <c:pt idx="140">
                  <c:v>2021Q1</c:v>
                </c:pt>
              </c:strCache>
            </c:strRef>
          </c:cat>
          <c:val>
            <c:numRef>
              <c:f>matrix!$H$5:$H$145</c:f>
              <c:numCache>
                <c:formatCode>General</c:formatCode>
                <c:ptCount val="141"/>
                <c:pt idx="0">
                  <c:v>66.099999999999994</c:v>
                </c:pt>
                <c:pt idx="1">
                  <c:v>60.8</c:v>
                </c:pt>
                <c:pt idx="2">
                  <c:v>58.5</c:v>
                </c:pt>
                <c:pt idx="3">
                  <c:v>60.3</c:v>
                </c:pt>
                <c:pt idx="4">
                  <c:v>61.8</c:v>
                </c:pt>
                <c:pt idx="5">
                  <c:v>59.6</c:v>
                </c:pt>
                <c:pt idx="6">
                  <c:v>59.1</c:v>
                </c:pt>
                <c:pt idx="7">
                  <c:v>60.1</c:v>
                </c:pt>
                <c:pt idx="8">
                  <c:v>56</c:v>
                </c:pt>
                <c:pt idx="9">
                  <c:v>53</c:v>
                </c:pt>
                <c:pt idx="10">
                  <c:v>51.5</c:v>
                </c:pt>
                <c:pt idx="11">
                  <c:v>52.7</c:v>
                </c:pt>
                <c:pt idx="12">
                  <c:v>52.5</c:v>
                </c:pt>
                <c:pt idx="13">
                  <c:v>48.8</c:v>
                </c:pt>
                <c:pt idx="14">
                  <c:v>48.2</c:v>
                </c:pt>
                <c:pt idx="15">
                  <c:v>50.1</c:v>
                </c:pt>
                <c:pt idx="16">
                  <c:v>49.5</c:v>
                </c:pt>
                <c:pt idx="17">
                  <c:v>48.5</c:v>
                </c:pt>
                <c:pt idx="18">
                  <c:v>46.4</c:v>
                </c:pt>
                <c:pt idx="19">
                  <c:v>48.1</c:v>
                </c:pt>
                <c:pt idx="20">
                  <c:v>45.6</c:v>
                </c:pt>
                <c:pt idx="21">
                  <c:v>42.5</c:v>
                </c:pt>
                <c:pt idx="22">
                  <c:v>40.5</c:v>
                </c:pt>
                <c:pt idx="23">
                  <c:v>44.5</c:v>
                </c:pt>
                <c:pt idx="24">
                  <c:v>44.5</c:v>
                </c:pt>
                <c:pt idx="25">
                  <c:v>39.1</c:v>
                </c:pt>
                <c:pt idx="26">
                  <c:v>38.799999999999997</c:v>
                </c:pt>
                <c:pt idx="27">
                  <c:v>42.6</c:v>
                </c:pt>
                <c:pt idx="28">
                  <c:v>40.4</c:v>
                </c:pt>
                <c:pt idx="29">
                  <c:v>37.299999999999997</c:v>
                </c:pt>
                <c:pt idx="30">
                  <c:v>38.799999999999997</c:v>
                </c:pt>
                <c:pt idx="31">
                  <c:v>42.1</c:v>
                </c:pt>
                <c:pt idx="32">
                  <c:v>41.7</c:v>
                </c:pt>
                <c:pt idx="33">
                  <c:v>40.5</c:v>
                </c:pt>
                <c:pt idx="34">
                  <c:v>44.6</c:v>
                </c:pt>
                <c:pt idx="35">
                  <c:v>45.5</c:v>
                </c:pt>
                <c:pt idx="36">
                  <c:v>45.7</c:v>
                </c:pt>
                <c:pt idx="37">
                  <c:v>44.9</c:v>
                </c:pt>
                <c:pt idx="38">
                  <c:v>47.5</c:v>
                </c:pt>
                <c:pt idx="39">
                  <c:v>51</c:v>
                </c:pt>
                <c:pt idx="40">
                  <c:v>46.8</c:v>
                </c:pt>
                <c:pt idx="41">
                  <c:v>44.8</c:v>
                </c:pt>
                <c:pt idx="42">
                  <c:v>46.9</c:v>
                </c:pt>
                <c:pt idx="43">
                  <c:v>46.5</c:v>
                </c:pt>
                <c:pt idx="44">
                  <c:v>47.9</c:v>
                </c:pt>
                <c:pt idx="45">
                  <c:v>45.2</c:v>
                </c:pt>
                <c:pt idx="46">
                  <c:v>45.1</c:v>
                </c:pt>
                <c:pt idx="47">
                  <c:v>47</c:v>
                </c:pt>
                <c:pt idx="48">
                  <c:v>47.2</c:v>
                </c:pt>
                <c:pt idx="49">
                  <c:v>43.3</c:v>
                </c:pt>
                <c:pt idx="50">
                  <c:v>42.6</c:v>
                </c:pt>
                <c:pt idx="51">
                  <c:v>44.8</c:v>
                </c:pt>
                <c:pt idx="52">
                  <c:v>42</c:v>
                </c:pt>
                <c:pt idx="53">
                  <c:v>39.9</c:v>
                </c:pt>
                <c:pt idx="54">
                  <c:v>42.4</c:v>
                </c:pt>
                <c:pt idx="55">
                  <c:v>45.6</c:v>
                </c:pt>
                <c:pt idx="56">
                  <c:v>44.5</c:v>
                </c:pt>
                <c:pt idx="57">
                  <c:v>41.4</c:v>
                </c:pt>
                <c:pt idx="58">
                  <c:v>42.3</c:v>
                </c:pt>
                <c:pt idx="59">
                  <c:v>46.2</c:v>
                </c:pt>
                <c:pt idx="60">
                  <c:v>45.4</c:v>
                </c:pt>
                <c:pt idx="61">
                  <c:v>42.6</c:v>
                </c:pt>
                <c:pt idx="62">
                  <c:v>44</c:v>
                </c:pt>
                <c:pt idx="63">
                  <c:v>47.4</c:v>
                </c:pt>
                <c:pt idx="64">
                  <c:v>49.6</c:v>
                </c:pt>
                <c:pt idx="65">
                  <c:v>45.3</c:v>
                </c:pt>
                <c:pt idx="66">
                  <c:v>44.4</c:v>
                </c:pt>
                <c:pt idx="67">
                  <c:v>47.2</c:v>
                </c:pt>
                <c:pt idx="68">
                  <c:v>46.8</c:v>
                </c:pt>
                <c:pt idx="69">
                  <c:v>43.1</c:v>
                </c:pt>
                <c:pt idx="70">
                  <c:v>43.7</c:v>
                </c:pt>
                <c:pt idx="71">
                  <c:v>45.9</c:v>
                </c:pt>
                <c:pt idx="72">
                  <c:v>46.5</c:v>
                </c:pt>
                <c:pt idx="73">
                  <c:v>43.4</c:v>
                </c:pt>
                <c:pt idx="74">
                  <c:v>45.1</c:v>
                </c:pt>
                <c:pt idx="75">
                  <c:v>48.6</c:v>
                </c:pt>
                <c:pt idx="76">
                  <c:v>47.2</c:v>
                </c:pt>
                <c:pt idx="77">
                  <c:v>47</c:v>
                </c:pt>
                <c:pt idx="78">
                  <c:v>45.7</c:v>
                </c:pt>
                <c:pt idx="79">
                  <c:v>49.9</c:v>
                </c:pt>
                <c:pt idx="80">
                  <c:v>47</c:v>
                </c:pt>
                <c:pt idx="81">
                  <c:v>45.5</c:v>
                </c:pt>
                <c:pt idx="82">
                  <c:v>44.4</c:v>
                </c:pt>
                <c:pt idx="83">
                  <c:v>48.1</c:v>
                </c:pt>
                <c:pt idx="84">
                  <c:v>45.9</c:v>
                </c:pt>
                <c:pt idx="85">
                  <c:v>45.9</c:v>
                </c:pt>
                <c:pt idx="86">
                  <c:v>46.7</c:v>
                </c:pt>
                <c:pt idx="87">
                  <c:v>47.8</c:v>
                </c:pt>
                <c:pt idx="88">
                  <c:v>44.3</c:v>
                </c:pt>
                <c:pt idx="89">
                  <c:v>46.2</c:v>
                </c:pt>
                <c:pt idx="90">
                  <c:v>43.8</c:v>
                </c:pt>
                <c:pt idx="91">
                  <c:v>47</c:v>
                </c:pt>
                <c:pt idx="92">
                  <c:v>42.9</c:v>
                </c:pt>
                <c:pt idx="93">
                  <c:v>39.299999999999997</c:v>
                </c:pt>
                <c:pt idx="94">
                  <c:v>35.4</c:v>
                </c:pt>
                <c:pt idx="95">
                  <c:v>40</c:v>
                </c:pt>
                <c:pt idx="96">
                  <c:v>37.9</c:v>
                </c:pt>
                <c:pt idx="97">
                  <c:v>34.6</c:v>
                </c:pt>
                <c:pt idx="98">
                  <c:v>33.1</c:v>
                </c:pt>
                <c:pt idx="99">
                  <c:v>35.799999999999997</c:v>
                </c:pt>
                <c:pt idx="100">
                  <c:v>33.799999999999997</c:v>
                </c:pt>
                <c:pt idx="101">
                  <c:v>32.200000000000003</c:v>
                </c:pt>
                <c:pt idx="102">
                  <c:v>31</c:v>
                </c:pt>
                <c:pt idx="103">
                  <c:v>34.4</c:v>
                </c:pt>
                <c:pt idx="104">
                  <c:v>33.5</c:v>
                </c:pt>
                <c:pt idx="105">
                  <c:v>31.6</c:v>
                </c:pt>
                <c:pt idx="106">
                  <c:v>30.6</c:v>
                </c:pt>
                <c:pt idx="107">
                  <c:v>28.4</c:v>
                </c:pt>
                <c:pt idx="108">
                  <c:v>30.9</c:v>
                </c:pt>
                <c:pt idx="109">
                  <c:v>31.8</c:v>
                </c:pt>
                <c:pt idx="110">
                  <c:v>31.8</c:v>
                </c:pt>
                <c:pt idx="111">
                  <c:v>36.6</c:v>
                </c:pt>
                <c:pt idx="112">
                  <c:v>35.200000000000003</c:v>
                </c:pt>
                <c:pt idx="113">
                  <c:v>35.5</c:v>
                </c:pt>
                <c:pt idx="114">
                  <c:v>34.5</c:v>
                </c:pt>
                <c:pt idx="115">
                  <c:v>40.200000000000003</c:v>
                </c:pt>
                <c:pt idx="116">
                  <c:v>39.1</c:v>
                </c:pt>
                <c:pt idx="117">
                  <c:v>35.799999999999997</c:v>
                </c:pt>
                <c:pt idx="118">
                  <c:v>33.5</c:v>
                </c:pt>
                <c:pt idx="119">
                  <c:v>38</c:v>
                </c:pt>
                <c:pt idx="120">
                  <c:v>37.200000000000003</c:v>
                </c:pt>
                <c:pt idx="121">
                  <c:v>35.1</c:v>
                </c:pt>
                <c:pt idx="122">
                  <c:v>33.9</c:v>
                </c:pt>
                <c:pt idx="123">
                  <c:v>38.1</c:v>
                </c:pt>
                <c:pt idx="124">
                  <c:v>41.2</c:v>
                </c:pt>
                <c:pt idx="125">
                  <c:v>32.700000000000003</c:v>
                </c:pt>
                <c:pt idx="126">
                  <c:v>36.1</c:v>
                </c:pt>
                <c:pt idx="127">
                  <c:v>39.6</c:v>
                </c:pt>
                <c:pt idx="128">
                  <c:v>38.9</c:v>
                </c:pt>
                <c:pt idx="129">
                  <c:v>34.799999999999997</c:v>
                </c:pt>
                <c:pt idx="130">
                  <c:v>33.299999999999997</c:v>
                </c:pt>
                <c:pt idx="131">
                  <c:v>36.299999999999997</c:v>
                </c:pt>
                <c:pt idx="132">
                  <c:v>36.200000000000003</c:v>
                </c:pt>
                <c:pt idx="133">
                  <c:v>36</c:v>
                </c:pt>
                <c:pt idx="134">
                  <c:v>36.9</c:v>
                </c:pt>
                <c:pt idx="135">
                  <c:v>38.4</c:v>
                </c:pt>
                <c:pt idx="136">
                  <c:v>39.6</c:v>
                </c:pt>
                <c:pt idx="137">
                  <c:v>36.9</c:v>
                </c:pt>
                <c:pt idx="138">
                  <c:v>33.200000000000003</c:v>
                </c:pt>
                <c:pt idx="139">
                  <c:v>39.1</c:v>
                </c:pt>
                <c:pt idx="140">
                  <c:v>37.799999999999997</c:v>
                </c:pt>
              </c:numCache>
            </c:numRef>
          </c:val>
          <c:smooth val="0"/>
          <c:extLst>
            <c:ext xmlns:c16="http://schemas.microsoft.com/office/drawing/2014/chart" uri="{C3380CC4-5D6E-409C-BE32-E72D297353CC}">
              <c16:uniqueId val="{00000000-DE9D-488F-88C6-E25113E8E0C4}"/>
            </c:ext>
          </c:extLst>
        </c:ser>
        <c:ser>
          <c:idx val="7"/>
          <c:order val="1"/>
          <c:tx>
            <c:v>Female 15 - 19</c:v>
          </c:tx>
          <c:spPr>
            <a:ln w="28575" cap="rnd">
              <a:solidFill>
                <a:schemeClr val="accent2">
                  <a:lumMod val="60000"/>
                </a:schemeClr>
              </a:solidFill>
              <a:round/>
            </a:ln>
            <a:effectLst/>
          </c:spPr>
          <c:marker>
            <c:symbol val="none"/>
          </c:marker>
          <c:val>
            <c:numRef>
              <c:f>matrix!$X$5:$X$145</c:f>
              <c:numCache>
                <c:formatCode>General</c:formatCode>
                <c:ptCount val="141"/>
                <c:pt idx="0">
                  <c:v>58.2</c:v>
                </c:pt>
                <c:pt idx="1">
                  <c:v>55.6</c:v>
                </c:pt>
                <c:pt idx="2">
                  <c:v>53.8</c:v>
                </c:pt>
                <c:pt idx="3">
                  <c:v>56.8</c:v>
                </c:pt>
                <c:pt idx="4">
                  <c:v>56.9</c:v>
                </c:pt>
                <c:pt idx="5">
                  <c:v>57.7</c:v>
                </c:pt>
                <c:pt idx="6">
                  <c:v>54.1</c:v>
                </c:pt>
                <c:pt idx="7">
                  <c:v>56.3</c:v>
                </c:pt>
                <c:pt idx="8">
                  <c:v>55.4</c:v>
                </c:pt>
                <c:pt idx="9">
                  <c:v>53.1</c:v>
                </c:pt>
                <c:pt idx="10">
                  <c:v>50</c:v>
                </c:pt>
                <c:pt idx="11">
                  <c:v>51.3</c:v>
                </c:pt>
                <c:pt idx="12">
                  <c:v>47.7</c:v>
                </c:pt>
                <c:pt idx="13">
                  <c:v>44.8</c:v>
                </c:pt>
                <c:pt idx="14">
                  <c:v>42.7</c:v>
                </c:pt>
                <c:pt idx="15">
                  <c:v>49.5</c:v>
                </c:pt>
                <c:pt idx="16">
                  <c:v>48.7</c:v>
                </c:pt>
                <c:pt idx="17">
                  <c:v>50.1</c:v>
                </c:pt>
                <c:pt idx="18">
                  <c:v>48.5</c:v>
                </c:pt>
                <c:pt idx="19">
                  <c:v>47</c:v>
                </c:pt>
                <c:pt idx="20">
                  <c:v>45.4</c:v>
                </c:pt>
                <c:pt idx="21">
                  <c:v>43.2</c:v>
                </c:pt>
                <c:pt idx="22">
                  <c:v>42.1</c:v>
                </c:pt>
                <c:pt idx="23">
                  <c:v>43</c:v>
                </c:pt>
                <c:pt idx="24">
                  <c:v>40.4</c:v>
                </c:pt>
                <c:pt idx="25">
                  <c:v>38.200000000000003</c:v>
                </c:pt>
                <c:pt idx="26">
                  <c:v>37.299999999999997</c:v>
                </c:pt>
                <c:pt idx="27">
                  <c:v>39.9</c:v>
                </c:pt>
                <c:pt idx="28">
                  <c:v>38.700000000000003</c:v>
                </c:pt>
                <c:pt idx="29">
                  <c:v>35.9</c:v>
                </c:pt>
                <c:pt idx="30">
                  <c:v>37.799999999999997</c:v>
                </c:pt>
                <c:pt idx="31">
                  <c:v>41.9</c:v>
                </c:pt>
                <c:pt idx="32">
                  <c:v>40.1</c:v>
                </c:pt>
                <c:pt idx="33">
                  <c:v>38.299999999999997</c:v>
                </c:pt>
                <c:pt idx="34">
                  <c:v>42.7</c:v>
                </c:pt>
                <c:pt idx="35">
                  <c:v>45.5</c:v>
                </c:pt>
                <c:pt idx="36">
                  <c:v>43.8</c:v>
                </c:pt>
                <c:pt idx="37">
                  <c:v>44.1</c:v>
                </c:pt>
                <c:pt idx="38">
                  <c:v>43.5</c:v>
                </c:pt>
                <c:pt idx="39">
                  <c:v>47.2</c:v>
                </c:pt>
                <c:pt idx="40">
                  <c:v>46.7</c:v>
                </c:pt>
                <c:pt idx="41">
                  <c:v>48</c:v>
                </c:pt>
                <c:pt idx="42">
                  <c:v>47.6</c:v>
                </c:pt>
                <c:pt idx="43">
                  <c:v>46</c:v>
                </c:pt>
                <c:pt idx="44">
                  <c:v>46.4</c:v>
                </c:pt>
                <c:pt idx="45">
                  <c:v>47.7</c:v>
                </c:pt>
                <c:pt idx="46">
                  <c:v>45.4</c:v>
                </c:pt>
                <c:pt idx="47">
                  <c:v>46.8</c:v>
                </c:pt>
                <c:pt idx="48">
                  <c:v>45.2</c:v>
                </c:pt>
                <c:pt idx="49">
                  <c:v>43.8</c:v>
                </c:pt>
                <c:pt idx="50">
                  <c:v>42.4</c:v>
                </c:pt>
                <c:pt idx="51">
                  <c:v>43.9</c:v>
                </c:pt>
                <c:pt idx="52">
                  <c:v>41.3</c:v>
                </c:pt>
                <c:pt idx="53">
                  <c:v>41.6</c:v>
                </c:pt>
                <c:pt idx="54">
                  <c:v>44.7</c:v>
                </c:pt>
                <c:pt idx="55">
                  <c:v>46.5</c:v>
                </c:pt>
                <c:pt idx="56">
                  <c:v>44.4</c:v>
                </c:pt>
                <c:pt idx="57">
                  <c:v>42.8</c:v>
                </c:pt>
                <c:pt idx="58">
                  <c:v>42.9</c:v>
                </c:pt>
                <c:pt idx="59">
                  <c:v>46.9</c:v>
                </c:pt>
                <c:pt idx="60">
                  <c:v>43.2</c:v>
                </c:pt>
                <c:pt idx="61">
                  <c:v>45.1</c:v>
                </c:pt>
                <c:pt idx="62">
                  <c:v>41.3</c:v>
                </c:pt>
                <c:pt idx="63">
                  <c:v>47.8</c:v>
                </c:pt>
                <c:pt idx="64">
                  <c:v>46.4</c:v>
                </c:pt>
                <c:pt idx="65">
                  <c:v>45.4</c:v>
                </c:pt>
                <c:pt idx="66">
                  <c:v>44.7</c:v>
                </c:pt>
                <c:pt idx="67">
                  <c:v>44.2</c:v>
                </c:pt>
                <c:pt idx="68">
                  <c:v>44.6</c:v>
                </c:pt>
                <c:pt idx="69">
                  <c:v>42.2</c:v>
                </c:pt>
                <c:pt idx="70">
                  <c:v>45.1</c:v>
                </c:pt>
                <c:pt idx="71">
                  <c:v>47.2</c:v>
                </c:pt>
                <c:pt idx="72">
                  <c:v>45.6</c:v>
                </c:pt>
                <c:pt idx="73">
                  <c:v>41.7</c:v>
                </c:pt>
                <c:pt idx="74">
                  <c:v>42.9</c:v>
                </c:pt>
                <c:pt idx="75">
                  <c:v>48.9</c:v>
                </c:pt>
                <c:pt idx="76">
                  <c:v>45.7</c:v>
                </c:pt>
                <c:pt idx="77">
                  <c:v>43.6</c:v>
                </c:pt>
                <c:pt idx="78">
                  <c:v>44.7</c:v>
                </c:pt>
                <c:pt idx="79">
                  <c:v>49.1</c:v>
                </c:pt>
                <c:pt idx="80">
                  <c:v>47.7</c:v>
                </c:pt>
                <c:pt idx="81">
                  <c:v>44.6</c:v>
                </c:pt>
                <c:pt idx="82">
                  <c:v>43.3</c:v>
                </c:pt>
                <c:pt idx="83">
                  <c:v>50.6</c:v>
                </c:pt>
                <c:pt idx="84">
                  <c:v>49.2</c:v>
                </c:pt>
                <c:pt idx="85">
                  <c:v>48</c:v>
                </c:pt>
                <c:pt idx="86">
                  <c:v>46.5</c:v>
                </c:pt>
                <c:pt idx="87">
                  <c:v>51.8</c:v>
                </c:pt>
                <c:pt idx="88">
                  <c:v>45.6</c:v>
                </c:pt>
                <c:pt idx="89">
                  <c:v>45.1</c:v>
                </c:pt>
                <c:pt idx="90">
                  <c:v>42.3</c:v>
                </c:pt>
                <c:pt idx="91">
                  <c:v>44.9</c:v>
                </c:pt>
                <c:pt idx="92">
                  <c:v>41</c:v>
                </c:pt>
                <c:pt idx="93">
                  <c:v>36.9</c:v>
                </c:pt>
                <c:pt idx="94">
                  <c:v>36.1</c:v>
                </c:pt>
                <c:pt idx="95">
                  <c:v>36.700000000000003</c:v>
                </c:pt>
                <c:pt idx="96">
                  <c:v>36.4</c:v>
                </c:pt>
                <c:pt idx="97">
                  <c:v>36.1</c:v>
                </c:pt>
                <c:pt idx="98">
                  <c:v>34.200000000000003</c:v>
                </c:pt>
                <c:pt idx="99">
                  <c:v>35</c:v>
                </c:pt>
                <c:pt idx="100">
                  <c:v>34.200000000000003</c:v>
                </c:pt>
                <c:pt idx="101">
                  <c:v>32.5</c:v>
                </c:pt>
                <c:pt idx="102">
                  <c:v>33.4</c:v>
                </c:pt>
                <c:pt idx="103">
                  <c:v>36.9</c:v>
                </c:pt>
                <c:pt idx="104">
                  <c:v>35.799999999999997</c:v>
                </c:pt>
                <c:pt idx="105">
                  <c:v>34.5</c:v>
                </c:pt>
                <c:pt idx="106">
                  <c:v>33.6</c:v>
                </c:pt>
                <c:pt idx="107">
                  <c:v>31.4</c:v>
                </c:pt>
                <c:pt idx="108">
                  <c:v>33.200000000000003</c:v>
                </c:pt>
                <c:pt idx="109">
                  <c:v>30.2</c:v>
                </c:pt>
                <c:pt idx="110">
                  <c:v>31.4</c:v>
                </c:pt>
                <c:pt idx="111">
                  <c:v>35.4</c:v>
                </c:pt>
                <c:pt idx="112">
                  <c:v>35.4</c:v>
                </c:pt>
                <c:pt idx="113">
                  <c:v>34.1</c:v>
                </c:pt>
                <c:pt idx="114">
                  <c:v>33.299999999999997</c:v>
                </c:pt>
                <c:pt idx="115">
                  <c:v>38.799999999999997</c:v>
                </c:pt>
                <c:pt idx="116">
                  <c:v>39.200000000000003</c:v>
                </c:pt>
                <c:pt idx="117">
                  <c:v>35.6</c:v>
                </c:pt>
                <c:pt idx="118">
                  <c:v>35.5</c:v>
                </c:pt>
                <c:pt idx="119">
                  <c:v>37.1</c:v>
                </c:pt>
                <c:pt idx="120">
                  <c:v>37</c:v>
                </c:pt>
                <c:pt idx="121">
                  <c:v>35.700000000000003</c:v>
                </c:pt>
                <c:pt idx="122">
                  <c:v>33.700000000000003</c:v>
                </c:pt>
                <c:pt idx="123">
                  <c:v>39.299999999999997</c:v>
                </c:pt>
                <c:pt idx="124">
                  <c:v>37.299999999999997</c:v>
                </c:pt>
                <c:pt idx="125">
                  <c:v>35.5</c:v>
                </c:pt>
                <c:pt idx="126">
                  <c:v>36.9</c:v>
                </c:pt>
                <c:pt idx="127">
                  <c:v>41.9</c:v>
                </c:pt>
                <c:pt idx="128">
                  <c:v>39.6</c:v>
                </c:pt>
                <c:pt idx="129">
                  <c:v>37.200000000000003</c:v>
                </c:pt>
                <c:pt idx="130">
                  <c:v>41.5</c:v>
                </c:pt>
                <c:pt idx="131">
                  <c:v>41.1</c:v>
                </c:pt>
                <c:pt idx="132">
                  <c:v>41.9</c:v>
                </c:pt>
                <c:pt idx="133">
                  <c:v>38.799999999999997</c:v>
                </c:pt>
                <c:pt idx="134">
                  <c:v>39.299999999999997</c:v>
                </c:pt>
                <c:pt idx="135">
                  <c:v>39.9</c:v>
                </c:pt>
                <c:pt idx="136">
                  <c:v>41.4</c:v>
                </c:pt>
                <c:pt idx="137">
                  <c:v>35.299999999999997</c:v>
                </c:pt>
                <c:pt idx="138">
                  <c:v>35.200000000000003</c:v>
                </c:pt>
                <c:pt idx="139">
                  <c:v>38.1</c:v>
                </c:pt>
                <c:pt idx="140">
                  <c:v>39.9</c:v>
                </c:pt>
              </c:numCache>
            </c:numRef>
          </c:val>
          <c:smooth val="0"/>
          <c:extLst>
            <c:ext xmlns:c16="http://schemas.microsoft.com/office/drawing/2014/chart" uri="{C3380CC4-5D6E-409C-BE32-E72D297353CC}">
              <c16:uniqueId val="{00000001-DE9D-488F-88C6-E25113E8E0C4}"/>
            </c:ext>
          </c:extLst>
        </c:ser>
        <c:ser>
          <c:idx val="3"/>
          <c:order val="2"/>
          <c:tx>
            <c:v>Male 20 - 24</c:v>
          </c:tx>
          <c:spPr>
            <a:ln w="28575" cap="rnd">
              <a:solidFill>
                <a:schemeClr val="accent4"/>
              </a:solidFill>
              <a:round/>
            </a:ln>
            <a:effectLst/>
          </c:spPr>
          <c:marker>
            <c:symbol val="none"/>
          </c:marker>
          <c:cat>
            <c:strRef>
              <c:f>matrix!$A$5:$A$145</c:f>
              <c:strCache>
                <c:ptCount val="141"/>
                <c:pt idx="0">
                  <c:v>1986Q1</c:v>
                </c:pt>
                <c:pt idx="1">
                  <c:v>1986Q2</c:v>
                </c:pt>
                <c:pt idx="2">
                  <c:v>1986Q3</c:v>
                </c:pt>
                <c:pt idx="3">
                  <c:v>1986Q4</c:v>
                </c:pt>
                <c:pt idx="4">
                  <c:v>1987Q1</c:v>
                </c:pt>
                <c:pt idx="5">
                  <c:v>1987Q2</c:v>
                </c:pt>
                <c:pt idx="6">
                  <c:v>1987Q3</c:v>
                </c:pt>
                <c:pt idx="7">
                  <c:v>1987Q4</c:v>
                </c:pt>
                <c:pt idx="8">
                  <c:v>1988Q1</c:v>
                </c:pt>
                <c:pt idx="9">
                  <c:v>1988Q2</c:v>
                </c:pt>
                <c:pt idx="10">
                  <c:v>1988Q3</c:v>
                </c:pt>
                <c:pt idx="11">
                  <c:v>1988Q4</c:v>
                </c:pt>
                <c:pt idx="12">
                  <c:v>1989Q1</c:v>
                </c:pt>
                <c:pt idx="13">
                  <c:v>1989Q2</c:v>
                </c:pt>
                <c:pt idx="14">
                  <c:v>1989Q3</c:v>
                </c:pt>
                <c:pt idx="15">
                  <c:v>1989Q4</c:v>
                </c:pt>
                <c:pt idx="16">
                  <c:v>1990Q1</c:v>
                </c:pt>
                <c:pt idx="17">
                  <c:v>1990Q2</c:v>
                </c:pt>
                <c:pt idx="18">
                  <c:v>1990Q3</c:v>
                </c:pt>
                <c:pt idx="19">
                  <c:v>1990Q4</c:v>
                </c:pt>
                <c:pt idx="20">
                  <c:v>1991Q1</c:v>
                </c:pt>
                <c:pt idx="21">
                  <c:v>1991Q2</c:v>
                </c:pt>
                <c:pt idx="22">
                  <c:v>1991Q3</c:v>
                </c:pt>
                <c:pt idx="23">
                  <c:v>1991Q4</c:v>
                </c:pt>
                <c:pt idx="24">
                  <c:v>1992Q1</c:v>
                </c:pt>
                <c:pt idx="25">
                  <c:v>1992Q2</c:v>
                </c:pt>
                <c:pt idx="26">
                  <c:v>1992Q3</c:v>
                </c:pt>
                <c:pt idx="27">
                  <c:v>1992Q4</c:v>
                </c:pt>
                <c:pt idx="28">
                  <c:v>1993Q1</c:v>
                </c:pt>
                <c:pt idx="29">
                  <c:v>1993Q2</c:v>
                </c:pt>
                <c:pt idx="30">
                  <c:v>1993Q3</c:v>
                </c:pt>
                <c:pt idx="31">
                  <c:v>1993Q4</c:v>
                </c:pt>
                <c:pt idx="32">
                  <c:v>1994Q1</c:v>
                </c:pt>
                <c:pt idx="33">
                  <c:v>1994Q2</c:v>
                </c:pt>
                <c:pt idx="34">
                  <c:v>1994Q3</c:v>
                </c:pt>
                <c:pt idx="35">
                  <c:v>1994Q4</c:v>
                </c:pt>
                <c:pt idx="36">
                  <c:v>1995Q1</c:v>
                </c:pt>
                <c:pt idx="37">
                  <c:v>1995Q2</c:v>
                </c:pt>
                <c:pt idx="38">
                  <c:v>1995Q3</c:v>
                </c:pt>
                <c:pt idx="39">
                  <c:v>1995Q4</c:v>
                </c:pt>
                <c:pt idx="40">
                  <c:v>1996Q1</c:v>
                </c:pt>
                <c:pt idx="41">
                  <c:v>1996Q2</c:v>
                </c:pt>
                <c:pt idx="42">
                  <c:v>1996Q3</c:v>
                </c:pt>
                <c:pt idx="43">
                  <c:v>1996Q4</c:v>
                </c:pt>
                <c:pt idx="44">
                  <c:v>1997Q1</c:v>
                </c:pt>
                <c:pt idx="45">
                  <c:v>1997Q2</c:v>
                </c:pt>
                <c:pt idx="46">
                  <c:v>1997Q3</c:v>
                </c:pt>
                <c:pt idx="47">
                  <c:v>1997Q4</c:v>
                </c:pt>
                <c:pt idx="48">
                  <c:v>1998Q1</c:v>
                </c:pt>
                <c:pt idx="49">
                  <c:v>1998Q2</c:v>
                </c:pt>
                <c:pt idx="50">
                  <c:v>1998Q3</c:v>
                </c:pt>
                <c:pt idx="51">
                  <c:v>1998Q4</c:v>
                </c:pt>
                <c:pt idx="52">
                  <c:v>1999Q1</c:v>
                </c:pt>
                <c:pt idx="53">
                  <c:v>1999Q2</c:v>
                </c:pt>
                <c:pt idx="54">
                  <c:v>1999Q3</c:v>
                </c:pt>
                <c:pt idx="55">
                  <c:v>1999Q4</c:v>
                </c:pt>
                <c:pt idx="56">
                  <c:v>2000Q1</c:v>
                </c:pt>
                <c:pt idx="57">
                  <c:v>2000Q2</c:v>
                </c:pt>
                <c:pt idx="58">
                  <c:v>2000Q3</c:v>
                </c:pt>
                <c:pt idx="59">
                  <c:v>2000Q4</c:v>
                </c:pt>
                <c:pt idx="60">
                  <c:v>2001Q1</c:v>
                </c:pt>
                <c:pt idx="61">
                  <c:v>2001Q2</c:v>
                </c:pt>
                <c:pt idx="62">
                  <c:v>2001Q3</c:v>
                </c:pt>
                <c:pt idx="63">
                  <c:v>2001Q4</c:v>
                </c:pt>
                <c:pt idx="64">
                  <c:v>2002Q1</c:v>
                </c:pt>
                <c:pt idx="65">
                  <c:v>2002Q2</c:v>
                </c:pt>
                <c:pt idx="66">
                  <c:v>2002Q3</c:v>
                </c:pt>
                <c:pt idx="67">
                  <c:v>2002Q4</c:v>
                </c:pt>
                <c:pt idx="68">
                  <c:v>2003Q1</c:v>
                </c:pt>
                <c:pt idx="69">
                  <c:v>2003Q2</c:v>
                </c:pt>
                <c:pt idx="70">
                  <c:v>2003Q3</c:v>
                </c:pt>
                <c:pt idx="71">
                  <c:v>2003Q4</c:v>
                </c:pt>
                <c:pt idx="72">
                  <c:v>2004Q1</c:v>
                </c:pt>
                <c:pt idx="73">
                  <c:v>2004Q2</c:v>
                </c:pt>
                <c:pt idx="74">
                  <c:v>2004Q3</c:v>
                </c:pt>
                <c:pt idx="75">
                  <c:v>2004Q4</c:v>
                </c:pt>
                <c:pt idx="76">
                  <c:v>2005Q1</c:v>
                </c:pt>
                <c:pt idx="77">
                  <c:v>2005Q2</c:v>
                </c:pt>
                <c:pt idx="78">
                  <c:v>2005Q3</c:v>
                </c:pt>
                <c:pt idx="79">
                  <c:v>2005Q4</c:v>
                </c:pt>
                <c:pt idx="80">
                  <c:v>2006Q1</c:v>
                </c:pt>
                <c:pt idx="81">
                  <c:v>2006Q2</c:v>
                </c:pt>
                <c:pt idx="82">
                  <c:v>2006Q3</c:v>
                </c:pt>
                <c:pt idx="83">
                  <c:v>2006Q4</c:v>
                </c:pt>
                <c:pt idx="84">
                  <c:v>2007Q1</c:v>
                </c:pt>
                <c:pt idx="85">
                  <c:v>2007Q2</c:v>
                </c:pt>
                <c:pt idx="86">
                  <c:v>2007Q3</c:v>
                </c:pt>
                <c:pt idx="87">
                  <c:v>2007Q4</c:v>
                </c:pt>
                <c:pt idx="88">
                  <c:v>2008Q1</c:v>
                </c:pt>
                <c:pt idx="89">
                  <c:v>2008Q2</c:v>
                </c:pt>
                <c:pt idx="90">
                  <c:v>2008Q3</c:v>
                </c:pt>
                <c:pt idx="91">
                  <c:v>2008Q4</c:v>
                </c:pt>
                <c:pt idx="92">
                  <c:v>2009Q1</c:v>
                </c:pt>
                <c:pt idx="93">
                  <c:v>2009Q2</c:v>
                </c:pt>
                <c:pt idx="94">
                  <c:v>2009Q3</c:v>
                </c:pt>
                <c:pt idx="95">
                  <c:v>2009Q4</c:v>
                </c:pt>
                <c:pt idx="96">
                  <c:v>2010Q1</c:v>
                </c:pt>
                <c:pt idx="97">
                  <c:v>2010Q2</c:v>
                </c:pt>
                <c:pt idx="98">
                  <c:v>2010Q3</c:v>
                </c:pt>
                <c:pt idx="99">
                  <c:v>2010Q4</c:v>
                </c:pt>
                <c:pt idx="100">
                  <c:v>2011Q1</c:v>
                </c:pt>
                <c:pt idx="101">
                  <c:v>2011Q2</c:v>
                </c:pt>
                <c:pt idx="102">
                  <c:v>2011Q3</c:v>
                </c:pt>
                <c:pt idx="103">
                  <c:v>2011Q4</c:v>
                </c:pt>
                <c:pt idx="104">
                  <c:v>2012Q1</c:v>
                </c:pt>
                <c:pt idx="105">
                  <c:v>2012Q2</c:v>
                </c:pt>
                <c:pt idx="106">
                  <c:v>2012Q3</c:v>
                </c:pt>
                <c:pt idx="107">
                  <c:v>2012Q4</c:v>
                </c:pt>
                <c:pt idx="108">
                  <c:v>2013Q1</c:v>
                </c:pt>
                <c:pt idx="109">
                  <c:v>2013Q2</c:v>
                </c:pt>
                <c:pt idx="110">
                  <c:v>2013Q3</c:v>
                </c:pt>
                <c:pt idx="111">
                  <c:v>2013Q4</c:v>
                </c:pt>
                <c:pt idx="112">
                  <c:v>2014Q1</c:v>
                </c:pt>
                <c:pt idx="113">
                  <c:v>2014Q2</c:v>
                </c:pt>
                <c:pt idx="114">
                  <c:v>2014Q3</c:v>
                </c:pt>
                <c:pt idx="115">
                  <c:v>2014Q4</c:v>
                </c:pt>
                <c:pt idx="116">
                  <c:v>2015Q1</c:v>
                </c:pt>
                <c:pt idx="117">
                  <c:v>2015Q2</c:v>
                </c:pt>
                <c:pt idx="118">
                  <c:v>2015Q3</c:v>
                </c:pt>
                <c:pt idx="119">
                  <c:v>2015Q4</c:v>
                </c:pt>
                <c:pt idx="120">
                  <c:v>2016Q1</c:v>
                </c:pt>
                <c:pt idx="121">
                  <c:v>2016Q2</c:v>
                </c:pt>
                <c:pt idx="122">
                  <c:v>2016Q3</c:v>
                </c:pt>
                <c:pt idx="123">
                  <c:v>2016Q4</c:v>
                </c:pt>
                <c:pt idx="124">
                  <c:v>2017Q1</c:v>
                </c:pt>
                <c:pt idx="125">
                  <c:v>2017Q2</c:v>
                </c:pt>
                <c:pt idx="126">
                  <c:v>2017Q3</c:v>
                </c:pt>
                <c:pt idx="127">
                  <c:v>2017Q4</c:v>
                </c:pt>
                <c:pt idx="128">
                  <c:v>2018Q1</c:v>
                </c:pt>
                <c:pt idx="129">
                  <c:v>2018Q2</c:v>
                </c:pt>
                <c:pt idx="130">
                  <c:v>2018Q3</c:v>
                </c:pt>
                <c:pt idx="131">
                  <c:v>2018Q4</c:v>
                </c:pt>
                <c:pt idx="132">
                  <c:v>2019Q1</c:v>
                </c:pt>
                <c:pt idx="133">
                  <c:v>2019Q2</c:v>
                </c:pt>
                <c:pt idx="134">
                  <c:v>2019Q3</c:v>
                </c:pt>
                <c:pt idx="135">
                  <c:v>2019Q4</c:v>
                </c:pt>
                <c:pt idx="136">
                  <c:v>2020Q1</c:v>
                </c:pt>
                <c:pt idx="137">
                  <c:v>2020Q2</c:v>
                </c:pt>
                <c:pt idx="138">
                  <c:v>2020Q3</c:v>
                </c:pt>
                <c:pt idx="139">
                  <c:v>2020Q4</c:v>
                </c:pt>
                <c:pt idx="140">
                  <c:v>2021Q1</c:v>
                </c:pt>
              </c:strCache>
            </c:strRef>
          </c:cat>
          <c:val>
            <c:numRef>
              <c:f>matrix!$P$5:$P$145</c:f>
              <c:numCache>
                <c:formatCode>General</c:formatCode>
                <c:ptCount val="141"/>
                <c:pt idx="0">
                  <c:v>87.9</c:v>
                </c:pt>
                <c:pt idx="1">
                  <c:v>88.1</c:v>
                </c:pt>
                <c:pt idx="2">
                  <c:v>87.7</c:v>
                </c:pt>
                <c:pt idx="3">
                  <c:v>88.3</c:v>
                </c:pt>
                <c:pt idx="4">
                  <c:v>88.5</c:v>
                </c:pt>
                <c:pt idx="5">
                  <c:v>84.3</c:v>
                </c:pt>
                <c:pt idx="6">
                  <c:v>84.7</c:v>
                </c:pt>
                <c:pt idx="7">
                  <c:v>86.3</c:v>
                </c:pt>
                <c:pt idx="8">
                  <c:v>82.9</c:v>
                </c:pt>
                <c:pt idx="9">
                  <c:v>81.400000000000006</c:v>
                </c:pt>
                <c:pt idx="10">
                  <c:v>78.599999999999994</c:v>
                </c:pt>
                <c:pt idx="11">
                  <c:v>79</c:v>
                </c:pt>
                <c:pt idx="12">
                  <c:v>79.3</c:v>
                </c:pt>
                <c:pt idx="13">
                  <c:v>75.5</c:v>
                </c:pt>
                <c:pt idx="14">
                  <c:v>73.900000000000006</c:v>
                </c:pt>
                <c:pt idx="15">
                  <c:v>80.099999999999994</c:v>
                </c:pt>
                <c:pt idx="16">
                  <c:v>76.8</c:v>
                </c:pt>
                <c:pt idx="17">
                  <c:v>75.400000000000006</c:v>
                </c:pt>
                <c:pt idx="18">
                  <c:v>73.7</c:v>
                </c:pt>
                <c:pt idx="19">
                  <c:v>76.099999999999994</c:v>
                </c:pt>
                <c:pt idx="20">
                  <c:v>72.900000000000006</c:v>
                </c:pt>
                <c:pt idx="21">
                  <c:v>69.400000000000006</c:v>
                </c:pt>
                <c:pt idx="22">
                  <c:v>66.7</c:v>
                </c:pt>
                <c:pt idx="23">
                  <c:v>68.5</c:v>
                </c:pt>
                <c:pt idx="24">
                  <c:v>67.7</c:v>
                </c:pt>
                <c:pt idx="25">
                  <c:v>68.8</c:v>
                </c:pt>
                <c:pt idx="26">
                  <c:v>66.8</c:v>
                </c:pt>
                <c:pt idx="27">
                  <c:v>69.7</c:v>
                </c:pt>
                <c:pt idx="28">
                  <c:v>69.900000000000006</c:v>
                </c:pt>
                <c:pt idx="29">
                  <c:v>70.3</c:v>
                </c:pt>
                <c:pt idx="30">
                  <c:v>70.2</c:v>
                </c:pt>
                <c:pt idx="31">
                  <c:v>72.400000000000006</c:v>
                </c:pt>
                <c:pt idx="32">
                  <c:v>73</c:v>
                </c:pt>
                <c:pt idx="33">
                  <c:v>71.900000000000006</c:v>
                </c:pt>
                <c:pt idx="34">
                  <c:v>74.099999999999994</c:v>
                </c:pt>
                <c:pt idx="35">
                  <c:v>75.599999999999994</c:v>
                </c:pt>
                <c:pt idx="36">
                  <c:v>79.2</c:v>
                </c:pt>
                <c:pt idx="37">
                  <c:v>76.7</c:v>
                </c:pt>
                <c:pt idx="38">
                  <c:v>74.3</c:v>
                </c:pt>
                <c:pt idx="39">
                  <c:v>77.900000000000006</c:v>
                </c:pt>
                <c:pt idx="40">
                  <c:v>76.5</c:v>
                </c:pt>
                <c:pt idx="41">
                  <c:v>76.7</c:v>
                </c:pt>
                <c:pt idx="42">
                  <c:v>75.400000000000006</c:v>
                </c:pt>
                <c:pt idx="43">
                  <c:v>78.099999999999994</c:v>
                </c:pt>
                <c:pt idx="44">
                  <c:v>75.599999999999994</c:v>
                </c:pt>
                <c:pt idx="45">
                  <c:v>72.2</c:v>
                </c:pt>
                <c:pt idx="46">
                  <c:v>72.5</c:v>
                </c:pt>
                <c:pt idx="47">
                  <c:v>76.099999999999994</c:v>
                </c:pt>
                <c:pt idx="48">
                  <c:v>73.2</c:v>
                </c:pt>
                <c:pt idx="49">
                  <c:v>70.3</c:v>
                </c:pt>
                <c:pt idx="50">
                  <c:v>69</c:v>
                </c:pt>
                <c:pt idx="51">
                  <c:v>67.900000000000006</c:v>
                </c:pt>
                <c:pt idx="52">
                  <c:v>71.400000000000006</c:v>
                </c:pt>
                <c:pt idx="53">
                  <c:v>68.7</c:v>
                </c:pt>
                <c:pt idx="54">
                  <c:v>70.7</c:v>
                </c:pt>
                <c:pt idx="55">
                  <c:v>75.900000000000006</c:v>
                </c:pt>
                <c:pt idx="56">
                  <c:v>72.099999999999994</c:v>
                </c:pt>
                <c:pt idx="57">
                  <c:v>67.099999999999994</c:v>
                </c:pt>
                <c:pt idx="58">
                  <c:v>68.5</c:v>
                </c:pt>
                <c:pt idx="59">
                  <c:v>73</c:v>
                </c:pt>
                <c:pt idx="60">
                  <c:v>73.2</c:v>
                </c:pt>
                <c:pt idx="61">
                  <c:v>70.599999999999994</c:v>
                </c:pt>
                <c:pt idx="62">
                  <c:v>73.7</c:v>
                </c:pt>
                <c:pt idx="63">
                  <c:v>73.400000000000006</c:v>
                </c:pt>
                <c:pt idx="64">
                  <c:v>76.400000000000006</c:v>
                </c:pt>
                <c:pt idx="65">
                  <c:v>69.400000000000006</c:v>
                </c:pt>
                <c:pt idx="66">
                  <c:v>69.099999999999994</c:v>
                </c:pt>
                <c:pt idx="67">
                  <c:v>74.900000000000006</c:v>
                </c:pt>
                <c:pt idx="68">
                  <c:v>72.599999999999994</c:v>
                </c:pt>
                <c:pt idx="69">
                  <c:v>72</c:v>
                </c:pt>
                <c:pt idx="70">
                  <c:v>73.3</c:v>
                </c:pt>
                <c:pt idx="71">
                  <c:v>75.3</c:v>
                </c:pt>
                <c:pt idx="72">
                  <c:v>76.3</c:v>
                </c:pt>
                <c:pt idx="73">
                  <c:v>74.400000000000006</c:v>
                </c:pt>
                <c:pt idx="74">
                  <c:v>71.2</c:v>
                </c:pt>
                <c:pt idx="75">
                  <c:v>77.099999999999994</c:v>
                </c:pt>
                <c:pt idx="76">
                  <c:v>73.8</c:v>
                </c:pt>
                <c:pt idx="77">
                  <c:v>71.099999999999994</c:v>
                </c:pt>
                <c:pt idx="78">
                  <c:v>70.7</c:v>
                </c:pt>
                <c:pt idx="79">
                  <c:v>73.7</c:v>
                </c:pt>
                <c:pt idx="80">
                  <c:v>79.8</c:v>
                </c:pt>
                <c:pt idx="81">
                  <c:v>76.7</c:v>
                </c:pt>
                <c:pt idx="82">
                  <c:v>73.900000000000006</c:v>
                </c:pt>
                <c:pt idx="83">
                  <c:v>78</c:v>
                </c:pt>
                <c:pt idx="84">
                  <c:v>76.5</c:v>
                </c:pt>
                <c:pt idx="85">
                  <c:v>74.099999999999994</c:v>
                </c:pt>
                <c:pt idx="86">
                  <c:v>73.900000000000006</c:v>
                </c:pt>
                <c:pt idx="87">
                  <c:v>78</c:v>
                </c:pt>
                <c:pt idx="88">
                  <c:v>73.400000000000006</c:v>
                </c:pt>
                <c:pt idx="89">
                  <c:v>71.3</c:v>
                </c:pt>
                <c:pt idx="90">
                  <c:v>70.5</c:v>
                </c:pt>
                <c:pt idx="91">
                  <c:v>73.900000000000006</c:v>
                </c:pt>
                <c:pt idx="92">
                  <c:v>71</c:v>
                </c:pt>
                <c:pt idx="93">
                  <c:v>71.7</c:v>
                </c:pt>
                <c:pt idx="94">
                  <c:v>65.5</c:v>
                </c:pt>
                <c:pt idx="95">
                  <c:v>67.5</c:v>
                </c:pt>
                <c:pt idx="96">
                  <c:v>66.599999999999994</c:v>
                </c:pt>
                <c:pt idx="97">
                  <c:v>65.5</c:v>
                </c:pt>
                <c:pt idx="98">
                  <c:v>68.5</c:v>
                </c:pt>
                <c:pt idx="99">
                  <c:v>70.3</c:v>
                </c:pt>
                <c:pt idx="100">
                  <c:v>71</c:v>
                </c:pt>
                <c:pt idx="101">
                  <c:v>67.8</c:v>
                </c:pt>
                <c:pt idx="102">
                  <c:v>68.3</c:v>
                </c:pt>
                <c:pt idx="103">
                  <c:v>69.5</c:v>
                </c:pt>
                <c:pt idx="104">
                  <c:v>70.3</c:v>
                </c:pt>
                <c:pt idx="105">
                  <c:v>69.7</c:v>
                </c:pt>
                <c:pt idx="106">
                  <c:v>69.099999999999994</c:v>
                </c:pt>
                <c:pt idx="107">
                  <c:v>70.7</c:v>
                </c:pt>
                <c:pt idx="108">
                  <c:v>70</c:v>
                </c:pt>
                <c:pt idx="109">
                  <c:v>66.3</c:v>
                </c:pt>
                <c:pt idx="110">
                  <c:v>67.599999999999994</c:v>
                </c:pt>
                <c:pt idx="111">
                  <c:v>71.900000000000006</c:v>
                </c:pt>
                <c:pt idx="112">
                  <c:v>72.5</c:v>
                </c:pt>
                <c:pt idx="113">
                  <c:v>69.3</c:v>
                </c:pt>
                <c:pt idx="114">
                  <c:v>70.3</c:v>
                </c:pt>
                <c:pt idx="115">
                  <c:v>72.3</c:v>
                </c:pt>
                <c:pt idx="116">
                  <c:v>73.8</c:v>
                </c:pt>
                <c:pt idx="117">
                  <c:v>71.5</c:v>
                </c:pt>
                <c:pt idx="118">
                  <c:v>70</c:v>
                </c:pt>
                <c:pt idx="119">
                  <c:v>72.7</c:v>
                </c:pt>
                <c:pt idx="120">
                  <c:v>74.599999999999994</c:v>
                </c:pt>
                <c:pt idx="121">
                  <c:v>73.7</c:v>
                </c:pt>
                <c:pt idx="122">
                  <c:v>73.7</c:v>
                </c:pt>
                <c:pt idx="123">
                  <c:v>76</c:v>
                </c:pt>
                <c:pt idx="124">
                  <c:v>76.400000000000006</c:v>
                </c:pt>
                <c:pt idx="125">
                  <c:v>74</c:v>
                </c:pt>
                <c:pt idx="126">
                  <c:v>72.900000000000006</c:v>
                </c:pt>
                <c:pt idx="127">
                  <c:v>76</c:v>
                </c:pt>
                <c:pt idx="128">
                  <c:v>75.5</c:v>
                </c:pt>
                <c:pt idx="129">
                  <c:v>75.400000000000006</c:v>
                </c:pt>
                <c:pt idx="130">
                  <c:v>74.5</c:v>
                </c:pt>
                <c:pt idx="131">
                  <c:v>76.599999999999994</c:v>
                </c:pt>
                <c:pt idx="132">
                  <c:v>76.099999999999994</c:v>
                </c:pt>
                <c:pt idx="133">
                  <c:v>75.5</c:v>
                </c:pt>
                <c:pt idx="134">
                  <c:v>73.7</c:v>
                </c:pt>
                <c:pt idx="135">
                  <c:v>75.900000000000006</c:v>
                </c:pt>
                <c:pt idx="136">
                  <c:v>76.5</c:v>
                </c:pt>
                <c:pt idx="137">
                  <c:v>72.599999999999994</c:v>
                </c:pt>
                <c:pt idx="138">
                  <c:v>71.8</c:v>
                </c:pt>
                <c:pt idx="139">
                  <c:v>73.599999999999994</c:v>
                </c:pt>
                <c:pt idx="140">
                  <c:v>74.7</c:v>
                </c:pt>
              </c:numCache>
            </c:numRef>
          </c:val>
          <c:smooth val="0"/>
          <c:extLst>
            <c:ext xmlns:c16="http://schemas.microsoft.com/office/drawing/2014/chart" uri="{C3380CC4-5D6E-409C-BE32-E72D297353CC}">
              <c16:uniqueId val="{00000002-DE9D-488F-88C6-E25113E8E0C4}"/>
            </c:ext>
          </c:extLst>
        </c:ser>
        <c:ser>
          <c:idx val="5"/>
          <c:order val="3"/>
          <c:tx>
            <c:v>Female 20 - 24</c:v>
          </c:tx>
          <c:spPr>
            <a:ln w="28575" cap="rnd">
              <a:solidFill>
                <a:schemeClr val="accent6"/>
              </a:solidFill>
              <a:round/>
            </a:ln>
            <a:effectLst/>
          </c:spPr>
          <c:marker>
            <c:symbol val="none"/>
          </c:marker>
          <c:cat>
            <c:strRef>
              <c:f>matrix!$A$5:$A$145</c:f>
              <c:strCache>
                <c:ptCount val="141"/>
                <c:pt idx="0">
                  <c:v>1986Q1</c:v>
                </c:pt>
                <c:pt idx="1">
                  <c:v>1986Q2</c:v>
                </c:pt>
                <c:pt idx="2">
                  <c:v>1986Q3</c:v>
                </c:pt>
                <c:pt idx="3">
                  <c:v>1986Q4</c:v>
                </c:pt>
                <c:pt idx="4">
                  <c:v>1987Q1</c:v>
                </c:pt>
                <c:pt idx="5">
                  <c:v>1987Q2</c:v>
                </c:pt>
                <c:pt idx="6">
                  <c:v>1987Q3</c:v>
                </c:pt>
                <c:pt idx="7">
                  <c:v>1987Q4</c:v>
                </c:pt>
                <c:pt idx="8">
                  <c:v>1988Q1</c:v>
                </c:pt>
                <c:pt idx="9">
                  <c:v>1988Q2</c:v>
                </c:pt>
                <c:pt idx="10">
                  <c:v>1988Q3</c:v>
                </c:pt>
                <c:pt idx="11">
                  <c:v>1988Q4</c:v>
                </c:pt>
                <c:pt idx="12">
                  <c:v>1989Q1</c:v>
                </c:pt>
                <c:pt idx="13">
                  <c:v>1989Q2</c:v>
                </c:pt>
                <c:pt idx="14">
                  <c:v>1989Q3</c:v>
                </c:pt>
                <c:pt idx="15">
                  <c:v>1989Q4</c:v>
                </c:pt>
                <c:pt idx="16">
                  <c:v>1990Q1</c:v>
                </c:pt>
                <c:pt idx="17">
                  <c:v>1990Q2</c:v>
                </c:pt>
                <c:pt idx="18">
                  <c:v>1990Q3</c:v>
                </c:pt>
                <c:pt idx="19">
                  <c:v>1990Q4</c:v>
                </c:pt>
                <c:pt idx="20">
                  <c:v>1991Q1</c:v>
                </c:pt>
                <c:pt idx="21">
                  <c:v>1991Q2</c:v>
                </c:pt>
                <c:pt idx="22">
                  <c:v>1991Q3</c:v>
                </c:pt>
                <c:pt idx="23">
                  <c:v>1991Q4</c:v>
                </c:pt>
                <c:pt idx="24">
                  <c:v>1992Q1</c:v>
                </c:pt>
                <c:pt idx="25">
                  <c:v>1992Q2</c:v>
                </c:pt>
                <c:pt idx="26">
                  <c:v>1992Q3</c:v>
                </c:pt>
                <c:pt idx="27">
                  <c:v>1992Q4</c:v>
                </c:pt>
                <c:pt idx="28">
                  <c:v>1993Q1</c:v>
                </c:pt>
                <c:pt idx="29">
                  <c:v>1993Q2</c:v>
                </c:pt>
                <c:pt idx="30">
                  <c:v>1993Q3</c:v>
                </c:pt>
                <c:pt idx="31">
                  <c:v>1993Q4</c:v>
                </c:pt>
                <c:pt idx="32">
                  <c:v>1994Q1</c:v>
                </c:pt>
                <c:pt idx="33">
                  <c:v>1994Q2</c:v>
                </c:pt>
                <c:pt idx="34">
                  <c:v>1994Q3</c:v>
                </c:pt>
                <c:pt idx="35">
                  <c:v>1994Q4</c:v>
                </c:pt>
                <c:pt idx="36">
                  <c:v>1995Q1</c:v>
                </c:pt>
                <c:pt idx="37">
                  <c:v>1995Q2</c:v>
                </c:pt>
                <c:pt idx="38">
                  <c:v>1995Q3</c:v>
                </c:pt>
                <c:pt idx="39">
                  <c:v>1995Q4</c:v>
                </c:pt>
                <c:pt idx="40">
                  <c:v>1996Q1</c:v>
                </c:pt>
                <c:pt idx="41">
                  <c:v>1996Q2</c:v>
                </c:pt>
                <c:pt idx="42">
                  <c:v>1996Q3</c:v>
                </c:pt>
                <c:pt idx="43">
                  <c:v>1996Q4</c:v>
                </c:pt>
                <c:pt idx="44">
                  <c:v>1997Q1</c:v>
                </c:pt>
                <c:pt idx="45">
                  <c:v>1997Q2</c:v>
                </c:pt>
                <c:pt idx="46">
                  <c:v>1997Q3</c:v>
                </c:pt>
                <c:pt idx="47">
                  <c:v>1997Q4</c:v>
                </c:pt>
                <c:pt idx="48">
                  <c:v>1998Q1</c:v>
                </c:pt>
                <c:pt idx="49">
                  <c:v>1998Q2</c:v>
                </c:pt>
                <c:pt idx="50">
                  <c:v>1998Q3</c:v>
                </c:pt>
                <c:pt idx="51">
                  <c:v>1998Q4</c:v>
                </c:pt>
                <c:pt idx="52">
                  <c:v>1999Q1</c:v>
                </c:pt>
                <c:pt idx="53">
                  <c:v>1999Q2</c:v>
                </c:pt>
                <c:pt idx="54">
                  <c:v>1999Q3</c:v>
                </c:pt>
                <c:pt idx="55">
                  <c:v>1999Q4</c:v>
                </c:pt>
                <c:pt idx="56">
                  <c:v>2000Q1</c:v>
                </c:pt>
                <c:pt idx="57">
                  <c:v>2000Q2</c:v>
                </c:pt>
                <c:pt idx="58">
                  <c:v>2000Q3</c:v>
                </c:pt>
                <c:pt idx="59">
                  <c:v>2000Q4</c:v>
                </c:pt>
                <c:pt idx="60">
                  <c:v>2001Q1</c:v>
                </c:pt>
                <c:pt idx="61">
                  <c:v>2001Q2</c:v>
                </c:pt>
                <c:pt idx="62">
                  <c:v>2001Q3</c:v>
                </c:pt>
                <c:pt idx="63">
                  <c:v>2001Q4</c:v>
                </c:pt>
                <c:pt idx="64">
                  <c:v>2002Q1</c:v>
                </c:pt>
                <c:pt idx="65">
                  <c:v>2002Q2</c:v>
                </c:pt>
                <c:pt idx="66">
                  <c:v>2002Q3</c:v>
                </c:pt>
                <c:pt idx="67">
                  <c:v>2002Q4</c:v>
                </c:pt>
                <c:pt idx="68">
                  <c:v>2003Q1</c:v>
                </c:pt>
                <c:pt idx="69">
                  <c:v>2003Q2</c:v>
                </c:pt>
                <c:pt idx="70">
                  <c:v>2003Q3</c:v>
                </c:pt>
                <c:pt idx="71">
                  <c:v>2003Q4</c:v>
                </c:pt>
                <c:pt idx="72">
                  <c:v>2004Q1</c:v>
                </c:pt>
                <c:pt idx="73">
                  <c:v>2004Q2</c:v>
                </c:pt>
                <c:pt idx="74">
                  <c:v>2004Q3</c:v>
                </c:pt>
                <c:pt idx="75">
                  <c:v>2004Q4</c:v>
                </c:pt>
                <c:pt idx="76">
                  <c:v>2005Q1</c:v>
                </c:pt>
                <c:pt idx="77">
                  <c:v>2005Q2</c:v>
                </c:pt>
                <c:pt idx="78">
                  <c:v>2005Q3</c:v>
                </c:pt>
                <c:pt idx="79">
                  <c:v>2005Q4</c:v>
                </c:pt>
                <c:pt idx="80">
                  <c:v>2006Q1</c:v>
                </c:pt>
                <c:pt idx="81">
                  <c:v>2006Q2</c:v>
                </c:pt>
                <c:pt idx="82">
                  <c:v>2006Q3</c:v>
                </c:pt>
                <c:pt idx="83">
                  <c:v>2006Q4</c:v>
                </c:pt>
                <c:pt idx="84">
                  <c:v>2007Q1</c:v>
                </c:pt>
                <c:pt idx="85">
                  <c:v>2007Q2</c:v>
                </c:pt>
                <c:pt idx="86">
                  <c:v>2007Q3</c:v>
                </c:pt>
                <c:pt idx="87">
                  <c:v>2007Q4</c:v>
                </c:pt>
                <c:pt idx="88">
                  <c:v>2008Q1</c:v>
                </c:pt>
                <c:pt idx="89">
                  <c:v>2008Q2</c:v>
                </c:pt>
                <c:pt idx="90">
                  <c:v>2008Q3</c:v>
                </c:pt>
                <c:pt idx="91">
                  <c:v>2008Q4</c:v>
                </c:pt>
                <c:pt idx="92">
                  <c:v>2009Q1</c:v>
                </c:pt>
                <c:pt idx="93">
                  <c:v>2009Q2</c:v>
                </c:pt>
                <c:pt idx="94">
                  <c:v>2009Q3</c:v>
                </c:pt>
                <c:pt idx="95">
                  <c:v>2009Q4</c:v>
                </c:pt>
                <c:pt idx="96">
                  <c:v>2010Q1</c:v>
                </c:pt>
                <c:pt idx="97">
                  <c:v>2010Q2</c:v>
                </c:pt>
                <c:pt idx="98">
                  <c:v>2010Q3</c:v>
                </c:pt>
                <c:pt idx="99">
                  <c:v>2010Q4</c:v>
                </c:pt>
                <c:pt idx="100">
                  <c:v>2011Q1</c:v>
                </c:pt>
                <c:pt idx="101">
                  <c:v>2011Q2</c:v>
                </c:pt>
                <c:pt idx="102">
                  <c:v>2011Q3</c:v>
                </c:pt>
                <c:pt idx="103">
                  <c:v>2011Q4</c:v>
                </c:pt>
                <c:pt idx="104">
                  <c:v>2012Q1</c:v>
                </c:pt>
                <c:pt idx="105">
                  <c:v>2012Q2</c:v>
                </c:pt>
                <c:pt idx="106">
                  <c:v>2012Q3</c:v>
                </c:pt>
                <c:pt idx="107">
                  <c:v>2012Q4</c:v>
                </c:pt>
                <c:pt idx="108">
                  <c:v>2013Q1</c:v>
                </c:pt>
                <c:pt idx="109">
                  <c:v>2013Q2</c:v>
                </c:pt>
                <c:pt idx="110">
                  <c:v>2013Q3</c:v>
                </c:pt>
                <c:pt idx="111">
                  <c:v>2013Q4</c:v>
                </c:pt>
                <c:pt idx="112">
                  <c:v>2014Q1</c:v>
                </c:pt>
                <c:pt idx="113">
                  <c:v>2014Q2</c:v>
                </c:pt>
                <c:pt idx="114">
                  <c:v>2014Q3</c:v>
                </c:pt>
                <c:pt idx="115">
                  <c:v>2014Q4</c:v>
                </c:pt>
                <c:pt idx="116">
                  <c:v>2015Q1</c:v>
                </c:pt>
                <c:pt idx="117">
                  <c:v>2015Q2</c:v>
                </c:pt>
                <c:pt idx="118">
                  <c:v>2015Q3</c:v>
                </c:pt>
                <c:pt idx="119">
                  <c:v>2015Q4</c:v>
                </c:pt>
                <c:pt idx="120">
                  <c:v>2016Q1</c:v>
                </c:pt>
                <c:pt idx="121">
                  <c:v>2016Q2</c:v>
                </c:pt>
                <c:pt idx="122">
                  <c:v>2016Q3</c:v>
                </c:pt>
                <c:pt idx="123">
                  <c:v>2016Q4</c:v>
                </c:pt>
                <c:pt idx="124">
                  <c:v>2017Q1</c:v>
                </c:pt>
                <c:pt idx="125">
                  <c:v>2017Q2</c:v>
                </c:pt>
                <c:pt idx="126">
                  <c:v>2017Q3</c:v>
                </c:pt>
                <c:pt idx="127">
                  <c:v>2017Q4</c:v>
                </c:pt>
                <c:pt idx="128">
                  <c:v>2018Q1</c:v>
                </c:pt>
                <c:pt idx="129">
                  <c:v>2018Q2</c:v>
                </c:pt>
                <c:pt idx="130">
                  <c:v>2018Q3</c:v>
                </c:pt>
                <c:pt idx="131">
                  <c:v>2018Q4</c:v>
                </c:pt>
                <c:pt idx="132">
                  <c:v>2019Q1</c:v>
                </c:pt>
                <c:pt idx="133">
                  <c:v>2019Q2</c:v>
                </c:pt>
                <c:pt idx="134">
                  <c:v>2019Q3</c:v>
                </c:pt>
                <c:pt idx="135">
                  <c:v>2019Q4</c:v>
                </c:pt>
                <c:pt idx="136">
                  <c:v>2020Q1</c:v>
                </c:pt>
                <c:pt idx="137">
                  <c:v>2020Q2</c:v>
                </c:pt>
                <c:pt idx="138">
                  <c:v>2020Q3</c:v>
                </c:pt>
                <c:pt idx="139">
                  <c:v>2020Q4</c:v>
                </c:pt>
                <c:pt idx="140">
                  <c:v>2021Q1</c:v>
                </c:pt>
              </c:strCache>
            </c:strRef>
          </c:cat>
          <c:val>
            <c:numRef>
              <c:f>matrix!$AF$5:$AF$145</c:f>
              <c:numCache>
                <c:formatCode>General</c:formatCode>
                <c:ptCount val="141"/>
                <c:pt idx="0">
                  <c:v>70.2</c:v>
                </c:pt>
                <c:pt idx="1">
                  <c:v>67.2</c:v>
                </c:pt>
                <c:pt idx="2">
                  <c:v>69.3</c:v>
                </c:pt>
                <c:pt idx="3">
                  <c:v>71.900000000000006</c:v>
                </c:pt>
                <c:pt idx="4">
                  <c:v>70.8</c:v>
                </c:pt>
                <c:pt idx="5">
                  <c:v>68.2</c:v>
                </c:pt>
                <c:pt idx="6">
                  <c:v>68.599999999999994</c:v>
                </c:pt>
                <c:pt idx="7">
                  <c:v>68.8</c:v>
                </c:pt>
                <c:pt idx="8">
                  <c:v>67.7</c:v>
                </c:pt>
                <c:pt idx="9">
                  <c:v>62.2</c:v>
                </c:pt>
                <c:pt idx="10">
                  <c:v>62.7</c:v>
                </c:pt>
                <c:pt idx="11">
                  <c:v>65.3</c:v>
                </c:pt>
                <c:pt idx="12">
                  <c:v>61.5</c:v>
                </c:pt>
                <c:pt idx="13">
                  <c:v>61.9</c:v>
                </c:pt>
                <c:pt idx="14">
                  <c:v>61.9</c:v>
                </c:pt>
                <c:pt idx="15">
                  <c:v>62.3</c:v>
                </c:pt>
                <c:pt idx="16">
                  <c:v>64.2</c:v>
                </c:pt>
                <c:pt idx="17">
                  <c:v>63.8</c:v>
                </c:pt>
                <c:pt idx="18">
                  <c:v>61.8</c:v>
                </c:pt>
                <c:pt idx="19">
                  <c:v>63.8</c:v>
                </c:pt>
                <c:pt idx="20">
                  <c:v>61.8</c:v>
                </c:pt>
                <c:pt idx="21">
                  <c:v>61.3</c:v>
                </c:pt>
                <c:pt idx="22">
                  <c:v>60.2</c:v>
                </c:pt>
                <c:pt idx="23">
                  <c:v>63.2</c:v>
                </c:pt>
                <c:pt idx="24">
                  <c:v>60.8</c:v>
                </c:pt>
                <c:pt idx="25">
                  <c:v>63.6</c:v>
                </c:pt>
                <c:pt idx="26">
                  <c:v>62.2</c:v>
                </c:pt>
                <c:pt idx="27">
                  <c:v>64.2</c:v>
                </c:pt>
                <c:pt idx="28">
                  <c:v>61.9</c:v>
                </c:pt>
                <c:pt idx="29">
                  <c:v>61.3</c:v>
                </c:pt>
                <c:pt idx="30">
                  <c:v>62.9</c:v>
                </c:pt>
                <c:pt idx="31">
                  <c:v>61.8</c:v>
                </c:pt>
                <c:pt idx="32">
                  <c:v>63.9</c:v>
                </c:pt>
                <c:pt idx="33">
                  <c:v>62.3</c:v>
                </c:pt>
                <c:pt idx="34">
                  <c:v>62.1</c:v>
                </c:pt>
                <c:pt idx="35">
                  <c:v>64.099999999999994</c:v>
                </c:pt>
                <c:pt idx="36">
                  <c:v>63</c:v>
                </c:pt>
                <c:pt idx="37">
                  <c:v>64.2</c:v>
                </c:pt>
                <c:pt idx="38">
                  <c:v>66.099999999999994</c:v>
                </c:pt>
                <c:pt idx="39">
                  <c:v>67</c:v>
                </c:pt>
                <c:pt idx="40">
                  <c:v>65.5</c:v>
                </c:pt>
                <c:pt idx="41">
                  <c:v>63.6</c:v>
                </c:pt>
                <c:pt idx="42">
                  <c:v>64.3</c:v>
                </c:pt>
                <c:pt idx="43">
                  <c:v>64.8</c:v>
                </c:pt>
                <c:pt idx="44">
                  <c:v>64.5</c:v>
                </c:pt>
                <c:pt idx="45">
                  <c:v>63.1</c:v>
                </c:pt>
                <c:pt idx="46">
                  <c:v>61.2</c:v>
                </c:pt>
                <c:pt idx="47">
                  <c:v>65.599999999999994</c:v>
                </c:pt>
                <c:pt idx="48">
                  <c:v>62</c:v>
                </c:pt>
                <c:pt idx="49">
                  <c:v>63.6</c:v>
                </c:pt>
                <c:pt idx="50">
                  <c:v>64.599999999999994</c:v>
                </c:pt>
                <c:pt idx="51">
                  <c:v>61.8</c:v>
                </c:pt>
                <c:pt idx="52">
                  <c:v>63.2</c:v>
                </c:pt>
                <c:pt idx="53">
                  <c:v>58.1</c:v>
                </c:pt>
                <c:pt idx="54">
                  <c:v>57.2</c:v>
                </c:pt>
                <c:pt idx="55">
                  <c:v>60.5</c:v>
                </c:pt>
                <c:pt idx="56">
                  <c:v>60.2</c:v>
                </c:pt>
                <c:pt idx="57">
                  <c:v>59.9</c:v>
                </c:pt>
                <c:pt idx="58">
                  <c:v>60.1</c:v>
                </c:pt>
                <c:pt idx="59">
                  <c:v>61.9</c:v>
                </c:pt>
                <c:pt idx="60">
                  <c:v>59.8</c:v>
                </c:pt>
                <c:pt idx="61">
                  <c:v>63.5</c:v>
                </c:pt>
                <c:pt idx="62">
                  <c:v>60.8</c:v>
                </c:pt>
                <c:pt idx="63">
                  <c:v>61.9</c:v>
                </c:pt>
                <c:pt idx="64">
                  <c:v>62.4</c:v>
                </c:pt>
                <c:pt idx="65">
                  <c:v>64.099999999999994</c:v>
                </c:pt>
                <c:pt idx="66">
                  <c:v>59.6</c:v>
                </c:pt>
                <c:pt idx="67">
                  <c:v>62.8</c:v>
                </c:pt>
                <c:pt idx="68">
                  <c:v>61.7</c:v>
                </c:pt>
                <c:pt idx="69">
                  <c:v>61.7</c:v>
                </c:pt>
                <c:pt idx="70">
                  <c:v>62.4</c:v>
                </c:pt>
                <c:pt idx="71">
                  <c:v>62.5</c:v>
                </c:pt>
                <c:pt idx="72">
                  <c:v>61.8</c:v>
                </c:pt>
                <c:pt idx="73">
                  <c:v>56.7</c:v>
                </c:pt>
                <c:pt idx="74">
                  <c:v>59.2</c:v>
                </c:pt>
                <c:pt idx="75">
                  <c:v>64.8</c:v>
                </c:pt>
                <c:pt idx="76">
                  <c:v>58.6</c:v>
                </c:pt>
                <c:pt idx="77">
                  <c:v>59.6</c:v>
                </c:pt>
                <c:pt idx="78">
                  <c:v>61.8</c:v>
                </c:pt>
                <c:pt idx="79">
                  <c:v>63.5</c:v>
                </c:pt>
                <c:pt idx="80">
                  <c:v>64.900000000000006</c:v>
                </c:pt>
                <c:pt idx="81">
                  <c:v>63.1</c:v>
                </c:pt>
                <c:pt idx="82">
                  <c:v>65.5</c:v>
                </c:pt>
                <c:pt idx="83">
                  <c:v>63.1</c:v>
                </c:pt>
                <c:pt idx="84">
                  <c:v>63.7</c:v>
                </c:pt>
                <c:pt idx="85">
                  <c:v>61</c:v>
                </c:pt>
                <c:pt idx="86">
                  <c:v>61.7</c:v>
                </c:pt>
                <c:pt idx="87">
                  <c:v>65</c:v>
                </c:pt>
                <c:pt idx="88">
                  <c:v>61.4</c:v>
                </c:pt>
                <c:pt idx="89">
                  <c:v>61.5</c:v>
                </c:pt>
                <c:pt idx="90">
                  <c:v>63.7</c:v>
                </c:pt>
                <c:pt idx="91">
                  <c:v>66.099999999999994</c:v>
                </c:pt>
                <c:pt idx="92">
                  <c:v>60.9</c:v>
                </c:pt>
                <c:pt idx="93">
                  <c:v>57.7</c:v>
                </c:pt>
                <c:pt idx="94">
                  <c:v>61.3</c:v>
                </c:pt>
                <c:pt idx="95">
                  <c:v>60.5</c:v>
                </c:pt>
                <c:pt idx="96">
                  <c:v>61.1</c:v>
                </c:pt>
                <c:pt idx="97">
                  <c:v>56.8</c:v>
                </c:pt>
                <c:pt idx="98">
                  <c:v>59.6</c:v>
                </c:pt>
                <c:pt idx="99">
                  <c:v>62.7</c:v>
                </c:pt>
                <c:pt idx="100">
                  <c:v>61.7</c:v>
                </c:pt>
                <c:pt idx="101">
                  <c:v>61.3</c:v>
                </c:pt>
                <c:pt idx="102">
                  <c:v>60.3</c:v>
                </c:pt>
                <c:pt idx="103">
                  <c:v>59.5</c:v>
                </c:pt>
                <c:pt idx="104">
                  <c:v>59.9</c:v>
                </c:pt>
                <c:pt idx="105">
                  <c:v>60.1</c:v>
                </c:pt>
                <c:pt idx="106">
                  <c:v>59.2</c:v>
                </c:pt>
                <c:pt idx="107">
                  <c:v>58.5</c:v>
                </c:pt>
                <c:pt idx="108">
                  <c:v>61.6</c:v>
                </c:pt>
                <c:pt idx="109">
                  <c:v>62.1</c:v>
                </c:pt>
                <c:pt idx="110">
                  <c:v>60.2</c:v>
                </c:pt>
                <c:pt idx="111">
                  <c:v>62.7</c:v>
                </c:pt>
                <c:pt idx="112">
                  <c:v>62.2</c:v>
                </c:pt>
                <c:pt idx="113">
                  <c:v>60.3</c:v>
                </c:pt>
                <c:pt idx="114">
                  <c:v>60</c:v>
                </c:pt>
                <c:pt idx="115">
                  <c:v>67.099999999999994</c:v>
                </c:pt>
                <c:pt idx="116">
                  <c:v>63.9</c:v>
                </c:pt>
                <c:pt idx="117">
                  <c:v>64</c:v>
                </c:pt>
                <c:pt idx="118">
                  <c:v>62.2</c:v>
                </c:pt>
                <c:pt idx="119">
                  <c:v>66.5</c:v>
                </c:pt>
                <c:pt idx="120">
                  <c:v>66.5</c:v>
                </c:pt>
                <c:pt idx="121">
                  <c:v>63.8</c:v>
                </c:pt>
                <c:pt idx="122">
                  <c:v>65.5</c:v>
                </c:pt>
                <c:pt idx="123">
                  <c:v>68.5</c:v>
                </c:pt>
                <c:pt idx="124">
                  <c:v>67.5</c:v>
                </c:pt>
                <c:pt idx="125">
                  <c:v>64.400000000000006</c:v>
                </c:pt>
                <c:pt idx="126">
                  <c:v>66.2</c:v>
                </c:pt>
                <c:pt idx="127">
                  <c:v>70.2</c:v>
                </c:pt>
                <c:pt idx="128">
                  <c:v>72.3</c:v>
                </c:pt>
                <c:pt idx="129">
                  <c:v>69.8</c:v>
                </c:pt>
                <c:pt idx="130">
                  <c:v>71.2</c:v>
                </c:pt>
                <c:pt idx="131">
                  <c:v>71.2</c:v>
                </c:pt>
                <c:pt idx="132">
                  <c:v>70.599999999999994</c:v>
                </c:pt>
                <c:pt idx="133">
                  <c:v>72.099999999999994</c:v>
                </c:pt>
                <c:pt idx="134">
                  <c:v>70.400000000000006</c:v>
                </c:pt>
                <c:pt idx="135">
                  <c:v>72.099999999999994</c:v>
                </c:pt>
                <c:pt idx="136">
                  <c:v>73.5</c:v>
                </c:pt>
                <c:pt idx="137">
                  <c:v>68.599999999999994</c:v>
                </c:pt>
                <c:pt idx="138">
                  <c:v>66.099999999999994</c:v>
                </c:pt>
                <c:pt idx="139">
                  <c:v>70.3</c:v>
                </c:pt>
                <c:pt idx="140">
                  <c:v>72.3</c:v>
                </c:pt>
              </c:numCache>
            </c:numRef>
          </c:val>
          <c:smooth val="0"/>
          <c:extLst>
            <c:ext xmlns:c16="http://schemas.microsoft.com/office/drawing/2014/chart" uri="{C3380CC4-5D6E-409C-BE32-E72D297353CC}">
              <c16:uniqueId val="{00000003-DE9D-488F-88C6-E25113E8E0C4}"/>
            </c:ext>
          </c:extLst>
        </c:ser>
        <c:ser>
          <c:idx val="8"/>
          <c:order val="4"/>
          <c:tx>
            <c:v>Total both sexes all ages</c:v>
          </c:tx>
          <c:spPr>
            <a:ln w="66675" cap="rnd">
              <a:solidFill>
                <a:schemeClr val="accent3">
                  <a:lumMod val="60000"/>
                </a:schemeClr>
              </a:solidFill>
              <a:round/>
            </a:ln>
            <a:effectLst/>
          </c:spPr>
          <c:marker>
            <c:symbol val="none"/>
          </c:marker>
          <c:val>
            <c:numRef>
              <c:f>matrix!$BT$5:$BT$145</c:f>
              <c:numCache>
                <c:formatCode>General</c:formatCode>
                <c:ptCount val="141"/>
                <c:pt idx="0">
                  <c:v>64.3</c:v>
                </c:pt>
                <c:pt idx="1">
                  <c:v>63.9</c:v>
                </c:pt>
                <c:pt idx="2">
                  <c:v>63.6</c:v>
                </c:pt>
                <c:pt idx="3">
                  <c:v>63.9</c:v>
                </c:pt>
                <c:pt idx="4">
                  <c:v>63.9</c:v>
                </c:pt>
                <c:pt idx="5">
                  <c:v>63.4</c:v>
                </c:pt>
                <c:pt idx="6">
                  <c:v>63.2</c:v>
                </c:pt>
                <c:pt idx="7">
                  <c:v>63.6</c:v>
                </c:pt>
                <c:pt idx="8">
                  <c:v>62.2</c:v>
                </c:pt>
                <c:pt idx="9">
                  <c:v>61.3</c:v>
                </c:pt>
                <c:pt idx="10">
                  <c:v>60.1</c:v>
                </c:pt>
                <c:pt idx="11">
                  <c:v>60.7</c:v>
                </c:pt>
                <c:pt idx="12">
                  <c:v>59.5</c:v>
                </c:pt>
                <c:pt idx="13">
                  <c:v>58.6</c:v>
                </c:pt>
                <c:pt idx="14">
                  <c:v>58.4</c:v>
                </c:pt>
                <c:pt idx="15">
                  <c:v>59.3</c:v>
                </c:pt>
                <c:pt idx="16">
                  <c:v>59</c:v>
                </c:pt>
                <c:pt idx="17">
                  <c:v>59.1</c:v>
                </c:pt>
                <c:pt idx="18">
                  <c:v>58.4</c:v>
                </c:pt>
                <c:pt idx="19">
                  <c:v>58.6</c:v>
                </c:pt>
                <c:pt idx="20">
                  <c:v>57.7</c:v>
                </c:pt>
                <c:pt idx="21">
                  <c:v>57.2</c:v>
                </c:pt>
                <c:pt idx="22">
                  <c:v>56.5</c:v>
                </c:pt>
                <c:pt idx="23">
                  <c:v>56.8</c:v>
                </c:pt>
                <c:pt idx="24">
                  <c:v>56.6</c:v>
                </c:pt>
                <c:pt idx="25">
                  <c:v>56.8</c:v>
                </c:pt>
                <c:pt idx="26">
                  <c:v>56.1</c:v>
                </c:pt>
                <c:pt idx="27">
                  <c:v>56.9</c:v>
                </c:pt>
                <c:pt idx="28">
                  <c:v>56.6</c:v>
                </c:pt>
                <c:pt idx="29">
                  <c:v>56.8</c:v>
                </c:pt>
                <c:pt idx="30">
                  <c:v>57</c:v>
                </c:pt>
                <c:pt idx="31">
                  <c:v>58</c:v>
                </c:pt>
                <c:pt idx="32">
                  <c:v>57.9</c:v>
                </c:pt>
                <c:pt idx="33">
                  <c:v>58.4</c:v>
                </c:pt>
                <c:pt idx="34">
                  <c:v>58.7</c:v>
                </c:pt>
                <c:pt idx="35">
                  <c:v>60</c:v>
                </c:pt>
                <c:pt idx="36">
                  <c:v>60</c:v>
                </c:pt>
                <c:pt idx="37">
                  <c:v>60.3</c:v>
                </c:pt>
                <c:pt idx="38">
                  <c:v>60.5</c:v>
                </c:pt>
                <c:pt idx="39">
                  <c:v>61.4</c:v>
                </c:pt>
                <c:pt idx="40">
                  <c:v>61.2</c:v>
                </c:pt>
                <c:pt idx="41">
                  <c:v>61.4</c:v>
                </c:pt>
                <c:pt idx="42">
                  <c:v>61.6</c:v>
                </c:pt>
                <c:pt idx="43">
                  <c:v>61.7</c:v>
                </c:pt>
                <c:pt idx="44">
                  <c:v>61.1</c:v>
                </c:pt>
                <c:pt idx="45">
                  <c:v>61</c:v>
                </c:pt>
                <c:pt idx="46">
                  <c:v>60.7</c:v>
                </c:pt>
                <c:pt idx="47">
                  <c:v>61.2</c:v>
                </c:pt>
                <c:pt idx="48">
                  <c:v>60.4</c:v>
                </c:pt>
                <c:pt idx="49">
                  <c:v>59.8</c:v>
                </c:pt>
                <c:pt idx="50">
                  <c:v>59.7</c:v>
                </c:pt>
                <c:pt idx="51">
                  <c:v>60.1</c:v>
                </c:pt>
                <c:pt idx="52">
                  <c:v>60.3</c:v>
                </c:pt>
                <c:pt idx="53">
                  <c:v>60</c:v>
                </c:pt>
                <c:pt idx="54">
                  <c:v>60.3</c:v>
                </c:pt>
                <c:pt idx="55">
                  <c:v>61.6</c:v>
                </c:pt>
                <c:pt idx="56">
                  <c:v>60.9</c:v>
                </c:pt>
                <c:pt idx="57">
                  <c:v>60.4</c:v>
                </c:pt>
                <c:pt idx="58">
                  <c:v>61.2</c:v>
                </c:pt>
                <c:pt idx="59">
                  <c:v>62.3</c:v>
                </c:pt>
                <c:pt idx="60">
                  <c:v>61.8</c:v>
                </c:pt>
                <c:pt idx="61">
                  <c:v>61.8</c:v>
                </c:pt>
                <c:pt idx="62">
                  <c:v>62</c:v>
                </c:pt>
                <c:pt idx="63">
                  <c:v>63.2</c:v>
                </c:pt>
                <c:pt idx="64">
                  <c:v>63.2</c:v>
                </c:pt>
                <c:pt idx="65">
                  <c:v>62.8</c:v>
                </c:pt>
                <c:pt idx="66">
                  <c:v>62.6</c:v>
                </c:pt>
                <c:pt idx="67">
                  <c:v>63.4</c:v>
                </c:pt>
                <c:pt idx="68">
                  <c:v>62.8</c:v>
                </c:pt>
                <c:pt idx="69">
                  <c:v>62.6</c:v>
                </c:pt>
                <c:pt idx="70">
                  <c:v>63.3</c:v>
                </c:pt>
                <c:pt idx="71">
                  <c:v>63.9</c:v>
                </c:pt>
                <c:pt idx="72">
                  <c:v>63.6</c:v>
                </c:pt>
                <c:pt idx="73">
                  <c:v>63.4</c:v>
                </c:pt>
                <c:pt idx="74">
                  <c:v>64.099999999999994</c:v>
                </c:pt>
                <c:pt idx="75">
                  <c:v>65.7</c:v>
                </c:pt>
                <c:pt idx="76">
                  <c:v>64.8</c:v>
                </c:pt>
                <c:pt idx="77">
                  <c:v>64.5</c:v>
                </c:pt>
                <c:pt idx="78">
                  <c:v>65.2</c:v>
                </c:pt>
                <c:pt idx="79">
                  <c:v>65.8</c:v>
                </c:pt>
                <c:pt idx="80">
                  <c:v>65.599999999999994</c:v>
                </c:pt>
                <c:pt idx="81">
                  <c:v>65.599999999999994</c:v>
                </c:pt>
                <c:pt idx="82">
                  <c:v>65.2</c:v>
                </c:pt>
                <c:pt idx="83">
                  <c:v>65.8</c:v>
                </c:pt>
                <c:pt idx="84">
                  <c:v>65.8</c:v>
                </c:pt>
                <c:pt idx="85">
                  <c:v>65.8</c:v>
                </c:pt>
                <c:pt idx="86">
                  <c:v>65.5</c:v>
                </c:pt>
                <c:pt idx="87">
                  <c:v>66.599999999999994</c:v>
                </c:pt>
                <c:pt idx="88">
                  <c:v>64.8</c:v>
                </c:pt>
                <c:pt idx="89">
                  <c:v>65.5</c:v>
                </c:pt>
                <c:pt idx="90">
                  <c:v>65.3</c:v>
                </c:pt>
                <c:pt idx="91">
                  <c:v>66.400000000000006</c:v>
                </c:pt>
                <c:pt idx="92">
                  <c:v>64.5</c:v>
                </c:pt>
                <c:pt idx="93">
                  <c:v>64.099999999999994</c:v>
                </c:pt>
                <c:pt idx="94">
                  <c:v>63.2</c:v>
                </c:pt>
                <c:pt idx="95">
                  <c:v>63.8</c:v>
                </c:pt>
                <c:pt idx="96">
                  <c:v>63.4</c:v>
                </c:pt>
                <c:pt idx="97">
                  <c:v>63.1</c:v>
                </c:pt>
                <c:pt idx="98">
                  <c:v>63.4</c:v>
                </c:pt>
                <c:pt idx="99">
                  <c:v>63.8</c:v>
                </c:pt>
                <c:pt idx="100">
                  <c:v>63.8</c:v>
                </c:pt>
                <c:pt idx="101">
                  <c:v>63.6</c:v>
                </c:pt>
                <c:pt idx="102">
                  <c:v>63.5</c:v>
                </c:pt>
                <c:pt idx="103">
                  <c:v>64.2</c:v>
                </c:pt>
                <c:pt idx="104">
                  <c:v>63.8</c:v>
                </c:pt>
                <c:pt idx="105">
                  <c:v>63.4</c:v>
                </c:pt>
                <c:pt idx="106">
                  <c:v>62.9</c:v>
                </c:pt>
                <c:pt idx="107">
                  <c:v>62.6</c:v>
                </c:pt>
                <c:pt idx="108">
                  <c:v>63.4</c:v>
                </c:pt>
                <c:pt idx="109">
                  <c:v>63.2</c:v>
                </c:pt>
                <c:pt idx="110">
                  <c:v>63.8</c:v>
                </c:pt>
                <c:pt idx="111">
                  <c:v>64.8</c:v>
                </c:pt>
                <c:pt idx="112">
                  <c:v>64.900000000000006</c:v>
                </c:pt>
                <c:pt idx="113">
                  <c:v>64.5</c:v>
                </c:pt>
                <c:pt idx="114">
                  <c:v>64.599999999999994</c:v>
                </c:pt>
                <c:pt idx="115">
                  <c:v>65.900000000000006</c:v>
                </c:pt>
                <c:pt idx="116">
                  <c:v>65.7</c:v>
                </c:pt>
                <c:pt idx="117">
                  <c:v>65</c:v>
                </c:pt>
                <c:pt idx="118">
                  <c:v>64.2</c:v>
                </c:pt>
                <c:pt idx="119">
                  <c:v>65.400000000000006</c:v>
                </c:pt>
                <c:pt idx="120">
                  <c:v>65.5</c:v>
                </c:pt>
                <c:pt idx="121">
                  <c:v>66.2</c:v>
                </c:pt>
                <c:pt idx="122">
                  <c:v>66.400000000000006</c:v>
                </c:pt>
                <c:pt idx="123">
                  <c:v>67.400000000000006</c:v>
                </c:pt>
                <c:pt idx="124">
                  <c:v>67.5</c:v>
                </c:pt>
                <c:pt idx="125">
                  <c:v>66.7</c:v>
                </c:pt>
                <c:pt idx="126">
                  <c:v>67.599999999999994</c:v>
                </c:pt>
                <c:pt idx="127">
                  <c:v>68.400000000000006</c:v>
                </c:pt>
                <c:pt idx="128">
                  <c:v>68.099999999999994</c:v>
                </c:pt>
                <c:pt idx="129">
                  <c:v>67.7</c:v>
                </c:pt>
                <c:pt idx="130">
                  <c:v>68</c:v>
                </c:pt>
                <c:pt idx="131">
                  <c:v>67.5</c:v>
                </c:pt>
                <c:pt idx="132">
                  <c:v>67.7</c:v>
                </c:pt>
                <c:pt idx="133">
                  <c:v>67.5</c:v>
                </c:pt>
                <c:pt idx="134">
                  <c:v>67.5</c:v>
                </c:pt>
                <c:pt idx="135">
                  <c:v>67.900000000000006</c:v>
                </c:pt>
                <c:pt idx="136">
                  <c:v>67.8</c:v>
                </c:pt>
                <c:pt idx="137">
                  <c:v>66.900000000000006</c:v>
                </c:pt>
                <c:pt idx="138">
                  <c:v>66.3</c:v>
                </c:pt>
                <c:pt idx="139">
                  <c:v>67.099999999999994</c:v>
                </c:pt>
                <c:pt idx="140">
                  <c:v>67.2</c:v>
                </c:pt>
              </c:numCache>
            </c:numRef>
          </c:val>
          <c:smooth val="0"/>
          <c:extLst>
            <c:ext xmlns:c16="http://schemas.microsoft.com/office/drawing/2014/chart" uri="{C3380CC4-5D6E-409C-BE32-E72D297353CC}">
              <c16:uniqueId val="{00000004-DE9D-488F-88C6-E25113E8E0C4}"/>
            </c:ext>
          </c:extLst>
        </c:ser>
        <c:dLbls>
          <c:showLegendKey val="0"/>
          <c:showVal val="0"/>
          <c:showCatName val="0"/>
          <c:showSerName val="0"/>
          <c:showPercent val="0"/>
          <c:showBubbleSize val="0"/>
        </c:dLbls>
        <c:smooth val="0"/>
        <c:axId val="896755448"/>
        <c:axId val="896754136"/>
      </c:lineChart>
      <c:catAx>
        <c:axId val="896755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Quarter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754136"/>
        <c:crosses val="autoZero"/>
        <c:auto val="1"/>
        <c:lblAlgn val="ctr"/>
        <c:lblOffset val="100"/>
        <c:noMultiLvlLbl val="0"/>
      </c:catAx>
      <c:valAx>
        <c:axId val="896754136"/>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Per 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755448"/>
        <c:crosses val="autoZero"/>
        <c:crossBetween val="between"/>
      </c:valAx>
      <c:spPr>
        <a:noFill/>
        <a:ln>
          <a:noFill/>
        </a:ln>
        <a:effectLst/>
      </c:spPr>
    </c:plotArea>
    <c:legend>
      <c:legendPos val="r"/>
      <c:layout>
        <c:manualLayout>
          <c:xMode val="edge"/>
          <c:yMode val="edge"/>
          <c:x val="9.4589714747195033E-2"/>
          <c:y val="0.85553519918921039"/>
          <c:w val="0.85901223885475853"/>
          <c:h val="0.143153764195317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Māori</a:t>
            </a:r>
            <a:r>
              <a:rPr lang="en-NZ" baseline="0"/>
              <a:t> - 2018</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Male</c:v>
          </c:tx>
          <c:spPr>
            <a:solidFill>
              <a:schemeClr val="accent1"/>
            </a:solidFill>
            <a:ln>
              <a:solidFill>
                <a:schemeClr val="tx1"/>
              </a:solidFill>
            </a:ln>
            <a:effectLst/>
          </c:spPr>
          <c:invertIfNegative val="0"/>
          <c:cat>
            <c:strRef>
              <c:f>'[7a367bba-3bcc-41d7-962d-647f329b0af4.xls]NZ.Stat export'!$B$28:$B$46</c:f>
              <c:strCache>
                <c:ptCount val="19"/>
                <c:pt idx="0">
                  <c:v>  0-4 years</c:v>
                </c:pt>
                <c:pt idx="1">
                  <c:v>  5-9 years</c:v>
                </c:pt>
                <c:pt idx="2">
                  <c:v>  10-14 years</c:v>
                </c:pt>
                <c:pt idx="3">
                  <c:v>  15-19 years</c:v>
                </c:pt>
                <c:pt idx="4">
                  <c:v>  20-24 years</c:v>
                </c:pt>
                <c:pt idx="5">
                  <c:v>  25-29 years</c:v>
                </c:pt>
                <c:pt idx="6">
                  <c:v>  30-34 years</c:v>
                </c:pt>
                <c:pt idx="7">
                  <c:v>  35-39 years</c:v>
                </c:pt>
                <c:pt idx="8">
                  <c:v>  40-44 years</c:v>
                </c:pt>
                <c:pt idx="9">
                  <c:v>  45-49 years</c:v>
                </c:pt>
                <c:pt idx="10">
                  <c:v>  50-54 years</c:v>
                </c:pt>
                <c:pt idx="11">
                  <c:v>  55-59 years</c:v>
                </c:pt>
                <c:pt idx="12">
                  <c:v>  60-64 years</c:v>
                </c:pt>
                <c:pt idx="13">
                  <c:v>  65-69 years</c:v>
                </c:pt>
                <c:pt idx="14">
                  <c:v>  70-74 years</c:v>
                </c:pt>
                <c:pt idx="15">
                  <c:v>  75-79 years</c:v>
                </c:pt>
                <c:pt idx="16">
                  <c:v>  80-84 years</c:v>
                </c:pt>
                <c:pt idx="17">
                  <c:v>  85-89 years</c:v>
                </c:pt>
                <c:pt idx="18">
                  <c:v>  90 years and over</c:v>
                </c:pt>
              </c:strCache>
            </c:strRef>
          </c:cat>
          <c:val>
            <c:numRef>
              <c:f>'[7a367bba-3bcc-41d7-962d-647f329b0af4.xls]NZ.Stat export'!$E$28:$E$46</c:f>
              <c:numCache>
                <c:formatCode>General</c:formatCode>
                <c:ptCount val="19"/>
                <c:pt idx="0">
                  <c:v>43400</c:v>
                </c:pt>
                <c:pt idx="1">
                  <c:v>45800</c:v>
                </c:pt>
                <c:pt idx="2">
                  <c:v>42500</c:v>
                </c:pt>
                <c:pt idx="3">
                  <c:v>38900</c:v>
                </c:pt>
                <c:pt idx="4">
                  <c:v>35000</c:v>
                </c:pt>
                <c:pt idx="5">
                  <c:v>32200</c:v>
                </c:pt>
                <c:pt idx="6">
                  <c:v>24800</c:v>
                </c:pt>
                <c:pt idx="7">
                  <c:v>21900</c:v>
                </c:pt>
                <c:pt idx="8">
                  <c:v>21900</c:v>
                </c:pt>
                <c:pt idx="9">
                  <c:v>23200</c:v>
                </c:pt>
                <c:pt idx="10">
                  <c:v>21000</c:v>
                </c:pt>
                <c:pt idx="11">
                  <c:v>19100</c:v>
                </c:pt>
                <c:pt idx="12">
                  <c:v>13600</c:v>
                </c:pt>
                <c:pt idx="13">
                  <c:v>10100</c:v>
                </c:pt>
                <c:pt idx="14">
                  <c:v>6200</c:v>
                </c:pt>
                <c:pt idx="15">
                  <c:v>3900</c:v>
                </c:pt>
                <c:pt idx="16">
                  <c:v>1900</c:v>
                </c:pt>
                <c:pt idx="17">
                  <c:v>700</c:v>
                </c:pt>
                <c:pt idx="18">
                  <c:v>200</c:v>
                </c:pt>
              </c:numCache>
            </c:numRef>
          </c:val>
          <c:extLst>
            <c:ext xmlns:c16="http://schemas.microsoft.com/office/drawing/2014/chart" uri="{C3380CC4-5D6E-409C-BE32-E72D297353CC}">
              <c16:uniqueId val="{00000000-92EC-4283-9AFD-FFED3D0A3A27}"/>
            </c:ext>
          </c:extLst>
        </c:ser>
        <c:ser>
          <c:idx val="1"/>
          <c:order val="1"/>
          <c:tx>
            <c:v>Female</c:v>
          </c:tx>
          <c:spPr>
            <a:solidFill>
              <a:schemeClr val="accent2"/>
            </a:solidFill>
            <a:ln>
              <a:solidFill>
                <a:schemeClr val="tx1"/>
              </a:solidFill>
            </a:ln>
            <a:effectLst/>
          </c:spPr>
          <c:invertIfNegative val="0"/>
          <c:cat>
            <c:strRef>
              <c:f>'[7a367bba-3bcc-41d7-962d-647f329b0af4.xls]NZ.Stat export'!$B$28:$B$46</c:f>
              <c:strCache>
                <c:ptCount val="19"/>
                <c:pt idx="0">
                  <c:v>  0-4 years</c:v>
                </c:pt>
                <c:pt idx="1">
                  <c:v>  5-9 years</c:v>
                </c:pt>
                <c:pt idx="2">
                  <c:v>  10-14 years</c:v>
                </c:pt>
                <c:pt idx="3">
                  <c:v>  15-19 years</c:v>
                </c:pt>
                <c:pt idx="4">
                  <c:v>  20-24 years</c:v>
                </c:pt>
                <c:pt idx="5">
                  <c:v>  25-29 years</c:v>
                </c:pt>
                <c:pt idx="6">
                  <c:v>  30-34 years</c:v>
                </c:pt>
                <c:pt idx="7">
                  <c:v>  35-39 years</c:v>
                </c:pt>
                <c:pt idx="8">
                  <c:v>  40-44 years</c:v>
                </c:pt>
                <c:pt idx="9">
                  <c:v>  45-49 years</c:v>
                </c:pt>
                <c:pt idx="10">
                  <c:v>  50-54 years</c:v>
                </c:pt>
                <c:pt idx="11">
                  <c:v>  55-59 years</c:v>
                </c:pt>
                <c:pt idx="12">
                  <c:v>  60-64 years</c:v>
                </c:pt>
                <c:pt idx="13">
                  <c:v>  65-69 years</c:v>
                </c:pt>
                <c:pt idx="14">
                  <c:v>  70-74 years</c:v>
                </c:pt>
                <c:pt idx="15">
                  <c:v>  75-79 years</c:v>
                </c:pt>
                <c:pt idx="16">
                  <c:v>  80-84 years</c:v>
                </c:pt>
                <c:pt idx="17">
                  <c:v>  85-89 years</c:v>
                </c:pt>
                <c:pt idx="18">
                  <c:v>  90 years and over</c:v>
                </c:pt>
              </c:strCache>
            </c:strRef>
          </c:cat>
          <c:val>
            <c:numRef>
              <c:f>'[7a367bba-3bcc-41d7-962d-647f329b0af4.xls]NZ.Stat export'!$G$28:$G$46</c:f>
              <c:numCache>
                <c:formatCode>General</c:formatCode>
                <c:ptCount val="19"/>
                <c:pt idx="0">
                  <c:v>-40700</c:v>
                </c:pt>
                <c:pt idx="1">
                  <c:v>-43200</c:v>
                </c:pt>
                <c:pt idx="2">
                  <c:v>-40100</c:v>
                </c:pt>
                <c:pt idx="3">
                  <c:v>-36800</c:v>
                </c:pt>
                <c:pt idx="4">
                  <c:v>-33800</c:v>
                </c:pt>
                <c:pt idx="5">
                  <c:v>-32400</c:v>
                </c:pt>
                <c:pt idx="6">
                  <c:v>-26600</c:v>
                </c:pt>
                <c:pt idx="7">
                  <c:v>-23400</c:v>
                </c:pt>
                <c:pt idx="8">
                  <c:v>-23100</c:v>
                </c:pt>
                <c:pt idx="9">
                  <c:v>-24700</c:v>
                </c:pt>
                <c:pt idx="10">
                  <c:v>-22200</c:v>
                </c:pt>
                <c:pt idx="11">
                  <c:v>-21000</c:v>
                </c:pt>
                <c:pt idx="12">
                  <c:v>-15100</c:v>
                </c:pt>
                <c:pt idx="13">
                  <c:v>-11000</c:v>
                </c:pt>
                <c:pt idx="14">
                  <c:v>-7100</c:v>
                </c:pt>
                <c:pt idx="15">
                  <c:v>-4600</c:v>
                </c:pt>
                <c:pt idx="16">
                  <c:v>-2600</c:v>
                </c:pt>
                <c:pt idx="17">
                  <c:v>-1300</c:v>
                </c:pt>
                <c:pt idx="18">
                  <c:v>-500</c:v>
                </c:pt>
              </c:numCache>
            </c:numRef>
          </c:val>
          <c:extLst>
            <c:ext xmlns:c16="http://schemas.microsoft.com/office/drawing/2014/chart" uri="{C3380CC4-5D6E-409C-BE32-E72D297353CC}">
              <c16:uniqueId val="{00000001-92EC-4283-9AFD-FFED3D0A3A27}"/>
            </c:ext>
          </c:extLst>
        </c:ser>
        <c:dLbls>
          <c:showLegendKey val="0"/>
          <c:showVal val="0"/>
          <c:showCatName val="0"/>
          <c:showSerName val="0"/>
          <c:showPercent val="0"/>
          <c:showBubbleSize val="0"/>
        </c:dLbls>
        <c:gapWidth val="0"/>
        <c:overlap val="100"/>
        <c:axId val="590941832"/>
        <c:axId val="590937896"/>
      </c:barChart>
      <c:catAx>
        <c:axId val="59094183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937896"/>
        <c:crosses val="autoZero"/>
        <c:auto val="1"/>
        <c:lblAlgn val="ctr"/>
        <c:lblOffset val="100"/>
        <c:noMultiLvlLbl val="0"/>
      </c:catAx>
      <c:valAx>
        <c:axId val="59093789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941832"/>
        <c:crosses val="autoZero"/>
        <c:crossBetween val="between"/>
        <c:dispUnits>
          <c:builtInUnit val="thousands"/>
          <c:dispUnitsLbl>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Pacific</a:t>
            </a:r>
            <a:r>
              <a:rPr lang="en-NZ" baseline="0"/>
              <a:t> - 2028</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Male</c:v>
          </c:tx>
          <c:spPr>
            <a:solidFill>
              <a:schemeClr val="accent1"/>
            </a:solidFill>
            <a:ln>
              <a:solidFill>
                <a:schemeClr val="tx1"/>
              </a:solidFill>
            </a:ln>
            <a:effectLst/>
          </c:spPr>
          <c:invertIfNegative val="0"/>
          <c:cat>
            <c:strRef>
              <c:f>'[7a367bba-3bcc-41d7-962d-647f329b0af4.xls]NZ.Stat export'!$I$68:$I$86</c:f>
              <c:strCache>
                <c:ptCount val="19"/>
                <c:pt idx="0">
                  <c:v>  0-4 years</c:v>
                </c:pt>
                <c:pt idx="1">
                  <c:v>  5-9 years</c:v>
                </c:pt>
                <c:pt idx="2">
                  <c:v>  10-14 years</c:v>
                </c:pt>
                <c:pt idx="3">
                  <c:v>  15-19 years</c:v>
                </c:pt>
                <c:pt idx="4">
                  <c:v>  20-24 years</c:v>
                </c:pt>
                <c:pt idx="5">
                  <c:v>  25-29 years</c:v>
                </c:pt>
                <c:pt idx="6">
                  <c:v>  30-34 years</c:v>
                </c:pt>
                <c:pt idx="7">
                  <c:v>  35-39 years</c:v>
                </c:pt>
                <c:pt idx="8">
                  <c:v>  40-44 years</c:v>
                </c:pt>
                <c:pt idx="9">
                  <c:v>  45-49 years</c:v>
                </c:pt>
                <c:pt idx="10">
                  <c:v>  50-54 years</c:v>
                </c:pt>
                <c:pt idx="11">
                  <c:v>  55-59 years</c:v>
                </c:pt>
                <c:pt idx="12">
                  <c:v>  60-64 years</c:v>
                </c:pt>
                <c:pt idx="13">
                  <c:v>  65-69 years</c:v>
                </c:pt>
                <c:pt idx="14">
                  <c:v>  70-74 years</c:v>
                </c:pt>
                <c:pt idx="15">
                  <c:v>  75-79 years</c:v>
                </c:pt>
                <c:pt idx="16">
                  <c:v>  80-84 years</c:v>
                </c:pt>
                <c:pt idx="17">
                  <c:v>  85-89 years</c:v>
                </c:pt>
                <c:pt idx="18">
                  <c:v>  90 years and over</c:v>
                </c:pt>
              </c:strCache>
            </c:strRef>
          </c:cat>
          <c:val>
            <c:numRef>
              <c:f>'[7a367bba-3bcc-41d7-962d-647f329b0af4.xls]NZ.Stat export'!$L$68:$L$86</c:f>
              <c:numCache>
                <c:formatCode>General</c:formatCode>
                <c:ptCount val="19"/>
                <c:pt idx="0">
                  <c:v>25200</c:v>
                </c:pt>
                <c:pt idx="1">
                  <c:v>24800</c:v>
                </c:pt>
                <c:pt idx="2">
                  <c:v>25300</c:v>
                </c:pt>
                <c:pt idx="3">
                  <c:v>27000</c:v>
                </c:pt>
                <c:pt idx="4">
                  <c:v>23400</c:v>
                </c:pt>
                <c:pt idx="5">
                  <c:v>20800</c:v>
                </c:pt>
                <c:pt idx="6">
                  <c:v>18700</c:v>
                </c:pt>
                <c:pt idx="7">
                  <c:v>16900</c:v>
                </c:pt>
                <c:pt idx="8">
                  <c:v>13000</c:v>
                </c:pt>
                <c:pt idx="9">
                  <c:v>11300</c:v>
                </c:pt>
                <c:pt idx="10">
                  <c:v>10300</c:v>
                </c:pt>
                <c:pt idx="11">
                  <c:v>10300</c:v>
                </c:pt>
                <c:pt idx="12">
                  <c:v>9200</c:v>
                </c:pt>
                <c:pt idx="13">
                  <c:v>6900</c:v>
                </c:pt>
                <c:pt idx="14">
                  <c:v>4900</c:v>
                </c:pt>
                <c:pt idx="15">
                  <c:v>3200</c:v>
                </c:pt>
                <c:pt idx="16">
                  <c:v>1600</c:v>
                </c:pt>
                <c:pt idx="17">
                  <c:v>700</c:v>
                </c:pt>
                <c:pt idx="18">
                  <c:v>300</c:v>
                </c:pt>
              </c:numCache>
            </c:numRef>
          </c:val>
          <c:extLst>
            <c:ext xmlns:c16="http://schemas.microsoft.com/office/drawing/2014/chart" uri="{C3380CC4-5D6E-409C-BE32-E72D297353CC}">
              <c16:uniqueId val="{00000000-D119-498E-B112-FFBFD4F9D0DF}"/>
            </c:ext>
          </c:extLst>
        </c:ser>
        <c:ser>
          <c:idx val="1"/>
          <c:order val="1"/>
          <c:tx>
            <c:v>Female</c:v>
          </c:tx>
          <c:spPr>
            <a:solidFill>
              <a:schemeClr val="accent2"/>
            </a:solidFill>
            <a:ln>
              <a:solidFill>
                <a:sysClr val="windowText" lastClr="000000">
                  <a:lumMod val="100000"/>
                </a:sysClr>
              </a:solidFill>
            </a:ln>
            <a:effectLst/>
          </c:spPr>
          <c:invertIfNegative val="0"/>
          <c:cat>
            <c:strRef>
              <c:f>'[7a367bba-3bcc-41d7-962d-647f329b0af4.xls]NZ.Stat export'!$I$68:$I$86</c:f>
              <c:strCache>
                <c:ptCount val="19"/>
                <c:pt idx="0">
                  <c:v>  0-4 years</c:v>
                </c:pt>
                <c:pt idx="1">
                  <c:v>  5-9 years</c:v>
                </c:pt>
                <c:pt idx="2">
                  <c:v>  10-14 years</c:v>
                </c:pt>
                <c:pt idx="3">
                  <c:v>  15-19 years</c:v>
                </c:pt>
                <c:pt idx="4">
                  <c:v>  20-24 years</c:v>
                </c:pt>
                <c:pt idx="5">
                  <c:v>  25-29 years</c:v>
                </c:pt>
                <c:pt idx="6">
                  <c:v>  30-34 years</c:v>
                </c:pt>
                <c:pt idx="7">
                  <c:v>  35-39 years</c:v>
                </c:pt>
                <c:pt idx="8">
                  <c:v>  40-44 years</c:v>
                </c:pt>
                <c:pt idx="9">
                  <c:v>  45-49 years</c:v>
                </c:pt>
                <c:pt idx="10">
                  <c:v>  50-54 years</c:v>
                </c:pt>
                <c:pt idx="11">
                  <c:v>  55-59 years</c:v>
                </c:pt>
                <c:pt idx="12">
                  <c:v>  60-64 years</c:v>
                </c:pt>
                <c:pt idx="13">
                  <c:v>  65-69 years</c:v>
                </c:pt>
                <c:pt idx="14">
                  <c:v>  70-74 years</c:v>
                </c:pt>
                <c:pt idx="15">
                  <c:v>  75-79 years</c:v>
                </c:pt>
                <c:pt idx="16">
                  <c:v>  80-84 years</c:v>
                </c:pt>
                <c:pt idx="17">
                  <c:v>  85-89 years</c:v>
                </c:pt>
                <c:pt idx="18">
                  <c:v>  90 years and over</c:v>
                </c:pt>
              </c:strCache>
            </c:strRef>
          </c:cat>
          <c:val>
            <c:numRef>
              <c:f>'[7a367bba-3bcc-41d7-962d-647f329b0af4.xls]NZ.Stat export'!$N$68:$N$86</c:f>
              <c:numCache>
                <c:formatCode>General</c:formatCode>
                <c:ptCount val="19"/>
                <c:pt idx="0">
                  <c:v>-23800</c:v>
                </c:pt>
                <c:pt idx="1">
                  <c:v>-23300</c:v>
                </c:pt>
                <c:pt idx="2">
                  <c:v>-23600</c:v>
                </c:pt>
                <c:pt idx="3">
                  <c:v>-25300</c:v>
                </c:pt>
                <c:pt idx="4">
                  <c:v>-22000</c:v>
                </c:pt>
                <c:pt idx="5">
                  <c:v>-20400</c:v>
                </c:pt>
                <c:pt idx="6">
                  <c:v>-19200</c:v>
                </c:pt>
                <c:pt idx="7">
                  <c:v>-17600</c:v>
                </c:pt>
                <c:pt idx="8">
                  <c:v>-13100</c:v>
                </c:pt>
                <c:pt idx="9">
                  <c:v>-11300</c:v>
                </c:pt>
                <c:pt idx="10">
                  <c:v>-10300</c:v>
                </c:pt>
                <c:pt idx="11">
                  <c:v>-10000</c:v>
                </c:pt>
                <c:pt idx="12">
                  <c:v>-9600</c:v>
                </c:pt>
                <c:pt idx="13">
                  <c:v>-7500</c:v>
                </c:pt>
                <c:pt idx="14">
                  <c:v>-5200</c:v>
                </c:pt>
                <c:pt idx="15">
                  <c:v>-3500</c:v>
                </c:pt>
                <c:pt idx="16">
                  <c:v>-2100</c:v>
                </c:pt>
                <c:pt idx="17">
                  <c:v>-1100</c:v>
                </c:pt>
                <c:pt idx="18">
                  <c:v>-600</c:v>
                </c:pt>
              </c:numCache>
            </c:numRef>
          </c:val>
          <c:extLst>
            <c:ext xmlns:c16="http://schemas.microsoft.com/office/drawing/2014/chart" uri="{C3380CC4-5D6E-409C-BE32-E72D297353CC}">
              <c16:uniqueId val="{00000001-D119-498E-B112-FFBFD4F9D0DF}"/>
            </c:ext>
          </c:extLst>
        </c:ser>
        <c:dLbls>
          <c:showLegendKey val="0"/>
          <c:showVal val="0"/>
          <c:showCatName val="0"/>
          <c:showSerName val="0"/>
          <c:showPercent val="0"/>
          <c:showBubbleSize val="0"/>
        </c:dLbls>
        <c:gapWidth val="0"/>
        <c:overlap val="100"/>
        <c:axId val="425369488"/>
        <c:axId val="425370472"/>
      </c:barChart>
      <c:catAx>
        <c:axId val="42536948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370472"/>
        <c:crosses val="autoZero"/>
        <c:auto val="1"/>
        <c:lblAlgn val="ctr"/>
        <c:lblOffset val="100"/>
        <c:noMultiLvlLbl val="0"/>
      </c:catAx>
      <c:valAx>
        <c:axId val="4253704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ysClr val="windowText" lastClr="000000">
                <a:lumMod val="100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369488"/>
        <c:crosses val="autoZero"/>
        <c:crossBetween val="between"/>
        <c:dispUnits>
          <c:builtInUnit val="thousands"/>
          <c:dispUnitsLbl>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Māori</a:t>
            </a:r>
            <a:r>
              <a:rPr lang="en-NZ" baseline="0"/>
              <a:t> - 2028</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Male</c:v>
          </c:tx>
          <c:spPr>
            <a:solidFill>
              <a:schemeClr val="accent1"/>
            </a:solidFill>
            <a:ln>
              <a:solidFill>
                <a:sysClr val="windowText" lastClr="000000">
                  <a:lumMod val="100000"/>
                </a:sysClr>
              </a:solidFill>
            </a:ln>
            <a:effectLst/>
          </c:spPr>
          <c:invertIfNegative val="0"/>
          <c:cat>
            <c:strRef>
              <c:f>'[7a367bba-3bcc-41d7-962d-647f329b0af4.xls]NZ.Stat export'!$I$28:$I$46</c:f>
              <c:strCache>
                <c:ptCount val="19"/>
                <c:pt idx="0">
                  <c:v>  0-4 years</c:v>
                </c:pt>
                <c:pt idx="1">
                  <c:v>  5-9 years</c:v>
                </c:pt>
                <c:pt idx="2">
                  <c:v>  10-14 years</c:v>
                </c:pt>
                <c:pt idx="3">
                  <c:v>  15-19 years</c:v>
                </c:pt>
                <c:pt idx="4">
                  <c:v>  20-24 years</c:v>
                </c:pt>
                <c:pt idx="5">
                  <c:v>  25-29 years</c:v>
                </c:pt>
                <c:pt idx="6">
                  <c:v>  30-34 years</c:v>
                </c:pt>
                <c:pt idx="7">
                  <c:v>  35-39 years</c:v>
                </c:pt>
                <c:pt idx="8">
                  <c:v>  40-44 years</c:v>
                </c:pt>
                <c:pt idx="9">
                  <c:v>  45-49 years</c:v>
                </c:pt>
                <c:pt idx="10">
                  <c:v>  50-54 years</c:v>
                </c:pt>
                <c:pt idx="11">
                  <c:v>  55-59 years</c:v>
                </c:pt>
                <c:pt idx="12">
                  <c:v>  60-64 years</c:v>
                </c:pt>
                <c:pt idx="13">
                  <c:v>  65-69 years</c:v>
                </c:pt>
                <c:pt idx="14">
                  <c:v>  70-74 years</c:v>
                </c:pt>
                <c:pt idx="15">
                  <c:v>  75-79 years</c:v>
                </c:pt>
                <c:pt idx="16">
                  <c:v>  80-84 years</c:v>
                </c:pt>
                <c:pt idx="17">
                  <c:v>  85-89 years</c:v>
                </c:pt>
                <c:pt idx="18">
                  <c:v>  90 years and over</c:v>
                </c:pt>
              </c:strCache>
            </c:strRef>
          </c:cat>
          <c:val>
            <c:numRef>
              <c:f>'[7a367bba-3bcc-41d7-962d-647f329b0af4.xls]NZ.Stat export'!$L$28:$L$46</c:f>
              <c:numCache>
                <c:formatCode>General</c:formatCode>
                <c:ptCount val="19"/>
                <c:pt idx="0">
                  <c:v>45700</c:v>
                </c:pt>
                <c:pt idx="1">
                  <c:v>44800</c:v>
                </c:pt>
                <c:pt idx="2">
                  <c:v>46500</c:v>
                </c:pt>
                <c:pt idx="3">
                  <c:v>49300</c:v>
                </c:pt>
                <c:pt idx="4">
                  <c:v>44000</c:v>
                </c:pt>
                <c:pt idx="5">
                  <c:v>38400</c:v>
                </c:pt>
                <c:pt idx="6">
                  <c:v>35500</c:v>
                </c:pt>
                <c:pt idx="7">
                  <c:v>34200</c:v>
                </c:pt>
                <c:pt idx="8">
                  <c:v>26200</c:v>
                </c:pt>
                <c:pt idx="9">
                  <c:v>22400</c:v>
                </c:pt>
                <c:pt idx="10">
                  <c:v>21600</c:v>
                </c:pt>
                <c:pt idx="11">
                  <c:v>22200</c:v>
                </c:pt>
                <c:pt idx="12">
                  <c:v>19500</c:v>
                </c:pt>
                <c:pt idx="13">
                  <c:v>16900</c:v>
                </c:pt>
                <c:pt idx="14">
                  <c:v>11100</c:v>
                </c:pt>
                <c:pt idx="15">
                  <c:v>7100</c:v>
                </c:pt>
                <c:pt idx="16">
                  <c:v>3500</c:v>
                </c:pt>
                <c:pt idx="17">
                  <c:v>1600</c:v>
                </c:pt>
                <c:pt idx="18">
                  <c:v>500</c:v>
                </c:pt>
              </c:numCache>
            </c:numRef>
          </c:val>
          <c:extLst>
            <c:ext xmlns:c16="http://schemas.microsoft.com/office/drawing/2014/chart" uri="{C3380CC4-5D6E-409C-BE32-E72D297353CC}">
              <c16:uniqueId val="{00000000-B2C0-4479-BD04-10ECAF4DED23}"/>
            </c:ext>
          </c:extLst>
        </c:ser>
        <c:ser>
          <c:idx val="1"/>
          <c:order val="1"/>
          <c:tx>
            <c:v>Female</c:v>
          </c:tx>
          <c:spPr>
            <a:solidFill>
              <a:schemeClr val="accent2"/>
            </a:solidFill>
            <a:ln>
              <a:solidFill>
                <a:sysClr val="windowText" lastClr="000000">
                  <a:lumMod val="100000"/>
                </a:sysClr>
              </a:solidFill>
            </a:ln>
            <a:effectLst/>
          </c:spPr>
          <c:invertIfNegative val="0"/>
          <c:cat>
            <c:strRef>
              <c:f>'[7a367bba-3bcc-41d7-962d-647f329b0af4.xls]NZ.Stat export'!$I$28:$I$46</c:f>
              <c:strCache>
                <c:ptCount val="19"/>
                <c:pt idx="0">
                  <c:v>  0-4 years</c:v>
                </c:pt>
                <c:pt idx="1">
                  <c:v>  5-9 years</c:v>
                </c:pt>
                <c:pt idx="2">
                  <c:v>  10-14 years</c:v>
                </c:pt>
                <c:pt idx="3">
                  <c:v>  15-19 years</c:v>
                </c:pt>
                <c:pt idx="4">
                  <c:v>  20-24 years</c:v>
                </c:pt>
                <c:pt idx="5">
                  <c:v>  25-29 years</c:v>
                </c:pt>
                <c:pt idx="6">
                  <c:v>  30-34 years</c:v>
                </c:pt>
                <c:pt idx="7">
                  <c:v>  35-39 years</c:v>
                </c:pt>
                <c:pt idx="8">
                  <c:v>  40-44 years</c:v>
                </c:pt>
                <c:pt idx="9">
                  <c:v>  45-49 years</c:v>
                </c:pt>
                <c:pt idx="10">
                  <c:v>  50-54 years</c:v>
                </c:pt>
                <c:pt idx="11">
                  <c:v>  55-59 years</c:v>
                </c:pt>
                <c:pt idx="12">
                  <c:v>  60-64 years</c:v>
                </c:pt>
                <c:pt idx="13">
                  <c:v>  65-69 years</c:v>
                </c:pt>
                <c:pt idx="14">
                  <c:v>  70-74 years</c:v>
                </c:pt>
                <c:pt idx="15">
                  <c:v>  75-79 years</c:v>
                </c:pt>
                <c:pt idx="16">
                  <c:v>  80-84 years</c:v>
                </c:pt>
                <c:pt idx="17">
                  <c:v>  85-89 years</c:v>
                </c:pt>
                <c:pt idx="18">
                  <c:v>  90 years and over</c:v>
                </c:pt>
              </c:strCache>
            </c:strRef>
          </c:cat>
          <c:val>
            <c:numRef>
              <c:f>'[7a367bba-3bcc-41d7-962d-647f329b0af4.xls]NZ.Stat export'!$N$28:$N$46</c:f>
              <c:numCache>
                <c:formatCode>General</c:formatCode>
                <c:ptCount val="19"/>
                <c:pt idx="0">
                  <c:v>-43300</c:v>
                </c:pt>
                <c:pt idx="1">
                  <c:v>-42400</c:v>
                </c:pt>
                <c:pt idx="2">
                  <c:v>-43700</c:v>
                </c:pt>
                <c:pt idx="3">
                  <c:v>-46500</c:v>
                </c:pt>
                <c:pt idx="4">
                  <c:v>-41300</c:v>
                </c:pt>
                <c:pt idx="5">
                  <c:v>-36600</c:v>
                </c:pt>
                <c:pt idx="6">
                  <c:v>-35600</c:v>
                </c:pt>
                <c:pt idx="7">
                  <c:v>-35500</c:v>
                </c:pt>
                <c:pt idx="8">
                  <c:v>-28500</c:v>
                </c:pt>
                <c:pt idx="9">
                  <c:v>-24300</c:v>
                </c:pt>
                <c:pt idx="10">
                  <c:v>-23200</c:v>
                </c:pt>
                <c:pt idx="11">
                  <c:v>-24200</c:v>
                </c:pt>
                <c:pt idx="12">
                  <c:v>-21400</c:v>
                </c:pt>
                <c:pt idx="13">
                  <c:v>-19500</c:v>
                </c:pt>
                <c:pt idx="14">
                  <c:v>-13100</c:v>
                </c:pt>
                <c:pt idx="15">
                  <c:v>-8500</c:v>
                </c:pt>
                <c:pt idx="16">
                  <c:v>-4600</c:v>
                </c:pt>
                <c:pt idx="17">
                  <c:v>-2300</c:v>
                </c:pt>
                <c:pt idx="18">
                  <c:v>-1100</c:v>
                </c:pt>
              </c:numCache>
            </c:numRef>
          </c:val>
          <c:extLst>
            <c:ext xmlns:c16="http://schemas.microsoft.com/office/drawing/2014/chart" uri="{C3380CC4-5D6E-409C-BE32-E72D297353CC}">
              <c16:uniqueId val="{00000001-B2C0-4479-BD04-10ECAF4DED23}"/>
            </c:ext>
          </c:extLst>
        </c:ser>
        <c:dLbls>
          <c:showLegendKey val="0"/>
          <c:showVal val="0"/>
          <c:showCatName val="0"/>
          <c:showSerName val="0"/>
          <c:showPercent val="0"/>
          <c:showBubbleSize val="0"/>
        </c:dLbls>
        <c:gapWidth val="0"/>
        <c:overlap val="100"/>
        <c:axId val="639898296"/>
        <c:axId val="639893704"/>
      </c:barChart>
      <c:catAx>
        <c:axId val="63989829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893704"/>
        <c:crosses val="autoZero"/>
        <c:auto val="1"/>
        <c:lblAlgn val="ctr"/>
        <c:lblOffset val="100"/>
        <c:noMultiLvlLbl val="0"/>
      </c:catAx>
      <c:valAx>
        <c:axId val="63989370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ysClr val="windowText" lastClr="000000">
                <a:lumMod val="100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898296"/>
        <c:crosses val="autoZero"/>
        <c:crossBetween val="between"/>
        <c:dispUnits>
          <c:builtInUnit val="thousands"/>
          <c:dispUnitsLbl>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3200" b="1" i="0" u="none" strike="noStrike" kern="1200" spc="0" baseline="0">
                <a:solidFill>
                  <a:schemeClr val="tx1">
                    <a:lumMod val="65000"/>
                    <a:lumOff val="35000"/>
                  </a:schemeClr>
                </a:solidFill>
                <a:latin typeface="+mn-lt"/>
                <a:ea typeface="+mn-ea"/>
                <a:cs typeface="+mn-cs"/>
              </a:defRPr>
            </a:pPr>
            <a:r>
              <a:rPr lang="en-NZ" sz="2000" b="1"/>
              <a:t>Unemployment </a:t>
            </a:r>
            <a:r>
              <a:rPr lang="en-NZ" sz="2000" b="1" baseline="0"/>
              <a:t>by Age and Gender: 1986-2021</a:t>
            </a:r>
            <a:endParaRPr lang="en-NZ" sz="2000" b="1"/>
          </a:p>
        </c:rich>
      </c:tx>
      <c:overlay val="0"/>
      <c:spPr>
        <a:noFill/>
        <a:ln>
          <a:noFill/>
        </a:ln>
        <a:effectLst/>
      </c:spPr>
      <c:txPr>
        <a:bodyPr rot="0" spcFirstLastPara="1" vertOverflow="ellipsis" vert="horz" wrap="square" anchor="ctr" anchorCtr="1"/>
        <a:lstStyle/>
        <a:p>
          <a:pPr>
            <a:defRPr sz="3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Male 15-19</c:v>
          </c:tx>
          <c:spPr>
            <a:ln w="28575" cap="rnd">
              <a:solidFill>
                <a:schemeClr val="accent1"/>
              </a:solidFill>
              <a:round/>
            </a:ln>
            <a:effectLst/>
          </c:spPr>
          <c:marker>
            <c:symbol val="none"/>
          </c:marker>
          <c:cat>
            <c:strRef>
              <c:f>matrix!$A$5:$A$145</c:f>
              <c:strCache>
                <c:ptCount val="141"/>
                <c:pt idx="0">
                  <c:v>1986Q1</c:v>
                </c:pt>
                <c:pt idx="1">
                  <c:v>1986Q2</c:v>
                </c:pt>
                <c:pt idx="2">
                  <c:v>1986Q3</c:v>
                </c:pt>
                <c:pt idx="3">
                  <c:v>1986Q4</c:v>
                </c:pt>
                <c:pt idx="4">
                  <c:v>1987Q1</c:v>
                </c:pt>
                <c:pt idx="5">
                  <c:v>1987Q2</c:v>
                </c:pt>
                <c:pt idx="6">
                  <c:v>1987Q3</c:v>
                </c:pt>
                <c:pt idx="7">
                  <c:v>1987Q4</c:v>
                </c:pt>
                <c:pt idx="8">
                  <c:v>1988Q1</c:v>
                </c:pt>
                <c:pt idx="9">
                  <c:v>1988Q2</c:v>
                </c:pt>
                <c:pt idx="10">
                  <c:v>1988Q3</c:v>
                </c:pt>
                <c:pt idx="11">
                  <c:v>1988Q4</c:v>
                </c:pt>
                <c:pt idx="12">
                  <c:v>1989Q1</c:v>
                </c:pt>
                <c:pt idx="13">
                  <c:v>1989Q2</c:v>
                </c:pt>
                <c:pt idx="14">
                  <c:v>1989Q3</c:v>
                </c:pt>
                <c:pt idx="15">
                  <c:v>1989Q4</c:v>
                </c:pt>
                <c:pt idx="16">
                  <c:v>1990Q1</c:v>
                </c:pt>
                <c:pt idx="17">
                  <c:v>1990Q2</c:v>
                </c:pt>
                <c:pt idx="18">
                  <c:v>1990Q3</c:v>
                </c:pt>
                <c:pt idx="19">
                  <c:v>1990Q4</c:v>
                </c:pt>
                <c:pt idx="20">
                  <c:v>1991Q1</c:v>
                </c:pt>
                <c:pt idx="21">
                  <c:v>1991Q2</c:v>
                </c:pt>
                <c:pt idx="22">
                  <c:v>1991Q3</c:v>
                </c:pt>
                <c:pt idx="23">
                  <c:v>1991Q4</c:v>
                </c:pt>
                <c:pt idx="24">
                  <c:v>1992Q1</c:v>
                </c:pt>
                <c:pt idx="25">
                  <c:v>1992Q2</c:v>
                </c:pt>
                <c:pt idx="26">
                  <c:v>1992Q3</c:v>
                </c:pt>
                <c:pt idx="27">
                  <c:v>1992Q4</c:v>
                </c:pt>
                <c:pt idx="28">
                  <c:v>1993Q1</c:v>
                </c:pt>
                <c:pt idx="29">
                  <c:v>1993Q2</c:v>
                </c:pt>
                <c:pt idx="30">
                  <c:v>1993Q3</c:v>
                </c:pt>
                <c:pt idx="31">
                  <c:v>1993Q4</c:v>
                </c:pt>
                <c:pt idx="32">
                  <c:v>1994Q1</c:v>
                </c:pt>
                <c:pt idx="33">
                  <c:v>1994Q2</c:v>
                </c:pt>
                <c:pt idx="34">
                  <c:v>1994Q3</c:v>
                </c:pt>
                <c:pt idx="35">
                  <c:v>1994Q4</c:v>
                </c:pt>
                <c:pt idx="36">
                  <c:v>1995Q1</c:v>
                </c:pt>
                <c:pt idx="37">
                  <c:v>1995Q2</c:v>
                </c:pt>
                <c:pt idx="38">
                  <c:v>1995Q3</c:v>
                </c:pt>
                <c:pt idx="39">
                  <c:v>1995Q4</c:v>
                </c:pt>
                <c:pt idx="40">
                  <c:v>1996Q1</c:v>
                </c:pt>
                <c:pt idx="41">
                  <c:v>1996Q2</c:v>
                </c:pt>
                <c:pt idx="42">
                  <c:v>1996Q3</c:v>
                </c:pt>
                <c:pt idx="43">
                  <c:v>1996Q4</c:v>
                </c:pt>
                <c:pt idx="44">
                  <c:v>1997Q1</c:v>
                </c:pt>
                <c:pt idx="45">
                  <c:v>1997Q2</c:v>
                </c:pt>
                <c:pt idx="46">
                  <c:v>1997Q3</c:v>
                </c:pt>
                <c:pt idx="47">
                  <c:v>1997Q4</c:v>
                </c:pt>
                <c:pt idx="48">
                  <c:v>1998Q1</c:v>
                </c:pt>
                <c:pt idx="49">
                  <c:v>1998Q2</c:v>
                </c:pt>
                <c:pt idx="50">
                  <c:v>1998Q3</c:v>
                </c:pt>
                <c:pt idx="51">
                  <c:v>1998Q4</c:v>
                </c:pt>
                <c:pt idx="52">
                  <c:v>1999Q1</c:v>
                </c:pt>
                <c:pt idx="53">
                  <c:v>1999Q2</c:v>
                </c:pt>
                <c:pt idx="54">
                  <c:v>1999Q3</c:v>
                </c:pt>
                <c:pt idx="55">
                  <c:v>1999Q4</c:v>
                </c:pt>
                <c:pt idx="56">
                  <c:v>2000Q1</c:v>
                </c:pt>
                <c:pt idx="57">
                  <c:v>2000Q2</c:v>
                </c:pt>
                <c:pt idx="58">
                  <c:v>2000Q3</c:v>
                </c:pt>
                <c:pt idx="59">
                  <c:v>2000Q4</c:v>
                </c:pt>
                <c:pt idx="60">
                  <c:v>2001Q1</c:v>
                </c:pt>
                <c:pt idx="61">
                  <c:v>2001Q2</c:v>
                </c:pt>
                <c:pt idx="62">
                  <c:v>2001Q3</c:v>
                </c:pt>
                <c:pt idx="63">
                  <c:v>2001Q4</c:v>
                </c:pt>
                <c:pt idx="64">
                  <c:v>2002Q1</c:v>
                </c:pt>
                <c:pt idx="65">
                  <c:v>2002Q2</c:v>
                </c:pt>
                <c:pt idx="66">
                  <c:v>2002Q3</c:v>
                </c:pt>
                <c:pt idx="67">
                  <c:v>2002Q4</c:v>
                </c:pt>
                <c:pt idx="68">
                  <c:v>2003Q1</c:v>
                </c:pt>
                <c:pt idx="69">
                  <c:v>2003Q2</c:v>
                </c:pt>
                <c:pt idx="70">
                  <c:v>2003Q3</c:v>
                </c:pt>
                <c:pt idx="71">
                  <c:v>2003Q4</c:v>
                </c:pt>
                <c:pt idx="72">
                  <c:v>2004Q1</c:v>
                </c:pt>
                <c:pt idx="73">
                  <c:v>2004Q2</c:v>
                </c:pt>
                <c:pt idx="74">
                  <c:v>2004Q3</c:v>
                </c:pt>
                <c:pt idx="75">
                  <c:v>2004Q4</c:v>
                </c:pt>
                <c:pt idx="76">
                  <c:v>2005Q1</c:v>
                </c:pt>
                <c:pt idx="77">
                  <c:v>2005Q2</c:v>
                </c:pt>
                <c:pt idx="78">
                  <c:v>2005Q3</c:v>
                </c:pt>
                <c:pt idx="79">
                  <c:v>2005Q4</c:v>
                </c:pt>
                <c:pt idx="80">
                  <c:v>2006Q1</c:v>
                </c:pt>
                <c:pt idx="81">
                  <c:v>2006Q2</c:v>
                </c:pt>
                <c:pt idx="82">
                  <c:v>2006Q3</c:v>
                </c:pt>
                <c:pt idx="83">
                  <c:v>2006Q4</c:v>
                </c:pt>
                <c:pt idx="84">
                  <c:v>2007Q1</c:v>
                </c:pt>
                <c:pt idx="85">
                  <c:v>2007Q2</c:v>
                </c:pt>
                <c:pt idx="86">
                  <c:v>2007Q3</c:v>
                </c:pt>
                <c:pt idx="87">
                  <c:v>2007Q4</c:v>
                </c:pt>
                <c:pt idx="88">
                  <c:v>2008Q1</c:v>
                </c:pt>
                <c:pt idx="89">
                  <c:v>2008Q2</c:v>
                </c:pt>
                <c:pt idx="90">
                  <c:v>2008Q3</c:v>
                </c:pt>
                <c:pt idx="91">
                  <c:v>2008Q4</c:v>
                </c:pt>
                <c:pt idx="92">
                  <c:v>2009Q1</c:v>
                </c:pt>
                <c:pt idx="93">
                  <c:v>2009Q2</c:v>
                </c:pt>
                <c:pt idx="94">
                  <c:v>2009Q3</c:v>
                </c:pt>
                <c:pt idx="95">
                  <c:v>2009Q4</c:v>
                </c:pt>
                <c:pt idx="96">
                  <c:v>2010Q1</c:v>
                </c:pt>
                <c:pt idx="97">
                  <c:v>2010Q2</c:v>
                </c:pt>
                <c:pt idx="98">
                  <c:v>2010Q3</c:v>
                </c:pt>
                <c:pt idx="99">
                  <c:v>2010Q4</c:v>
                </c:pt>
                <c:pt idx="100">
                  <c:v>2011Q1</c:v>
                </c:pt>
                <c:pt idx="101">
                  <c:v>2011Q2</c:v>
                </c:pt>
                <c:pt idx="102">
                  <c:v>2011Q3</c:v>
                </c:pt>
                <c:pt idx="103">
                  <c:v>2011Q4</c:v>
                </c:pt>
                <c:pt idx="104">
                  <c:v>2012Q1</c:v>
                </c:pt>
                <c:pt idx="105">
                  <c:v>2012Q2</c:v>
                </c:pt>
                <c:pt idx="106">
                  <c:v>2012Q3</c:v>
                </c:pt>
                <c:pt idx="107">
                  <c:v>2012Q4</c:v>
                </c:pt>
                <c:pt idx="108">
                  <c:v>2013Q1</c:v>
                </c:pt>
                <c:pt idx="109">
                  <c:v>2013Q2</c:v>
                </c:pt>
                <c:pt idx="110">
                  <c:v>2013Q3</c:v>
                </c:pt>
                <c:pt idx="111">
                  <c:v>2013Q4</c:v>
                </c:pt>
                <c:pt idx="112">
                  <c:v>2014Q1</c:v>
                </c:pt>
                <c:pt idx="113">
                  <c:v>2014Q2</c:v>
                </c:pt>
                <c:pt idx="114">
                  <c:v>2014Q3</c:v>
                </c:pt>
                <c:pt idx="115">
                  <c:v>2014Q4</c:v>
                </c:pt>
                <c:pt idx="116">
                  <c:v>2015Q1</c:v>
                </c:pt>
                <c:pt idx="117">
                  <c:v>2015Q2</c:v>
                </c:pt>
                <c:pt idx="118">
                  <c:v>2015Q3</c:v>
                </c:pt>
                <c:pt idx="119">
                  <c:v>2015Q4</c:v>
                </c:pt>
                <c:pt idx="120">
                  <c:v>2016Q1</c:v>
                </c:pt>
                <c:pt idx="121">
                  <c:v>2016Q2</c:v>
                </c:pt>
                <c:pt idx="122">
                  <c:v>2016Q3</c:v>
                </c:pt>
                <c:pt idx="123">
                  <c:v>2016Q4</c:v>
                </c:pt>
                <c:pt idx="124">
                  <c:v>2017Q1</c:v>
                </c:pt>
                <c:pt idx="125">
                  <c:v>2017Q2</c:v>
                </c:pt>
                <c:pt idx="126">
                  <c:v>2017Q3</c:v>
                </c:pt>
                <c:pt idx="127">
                  <c:v>2017Q4</c:v>
                </c:pt>
                <c:pt idx="128">
                  <c:v>2018Q1</c:v>
                </c:pt>
                <c:pt idx="129">
                  <c:v>2018Q2</c:v>
                </c:pt>
                <c:pt idx="130">
                  <c:v>2018Q3</c:v>
                </c:pt>
                <c:pt idx="131">
                  <c:v>2018Q4</c:v>
                </c:pt>
                <c:pt idx="132">
                  <c:v>2019Q1</c:v>
                </c:pt>
                <c:pt idx="133">
                  <c:v>2019Q2</c:v>
                </c:pt>
                <c:pt idx="134">
                  <c:v>2019Q3</c:v>
                </c:pt>
                <c:pt idx="135">
                  <c:v>2019Q4</c:v>
                </c:pt>
                <c:pt idx="136">
                  <c:v>2020Q1</c:v>
                </c:pt>
                <c:pt idx="137">
                  <c:v>2020Q2</c:v>
                </c:pt>
                <c:pt idx="138">
                  <c:v>2020Q3</c:v>
                </c:pt>
                <c:pt idx="139">
                  <c:v>2020Q4</c:v>
                </c:pt>
                <c:pt idx="140">
                  <c:v>2021Q1</c:v>
                </c:pt>
              </c:strCache>
            </c:strRef>
          </c:cat>
          <c:val>
            <c:numRef>
              <c:f>matrix!$G$5:$G$145</c:f>
              <c:numCache>
                <c:formatCode>General</c:formatCode>
                <c:ptCount val="141"/>
                <c:pt idx="0">
                  <c:v>12</c:v>
                </c:pt>
                <c:pt idx="1">
                  <c:v>11.4</c:v>
                </c:pt>
                <c:pt idx="2">
                  <c:v>11.1</c:v>
                </c:pt>
                <c:pt idx="3">
                  <c:v>13</c:v>
                </c:pt>
                <c:pt idx="4">
                  <c:v>11.7</c:v>
                </c:pt>
                <c:pt idx="5">
                  <c:v>11</c:v>
                </c:pt>
                <c:pt idx="6">
                  <c:v>10.4</c:v>
                </c:pt>
                <c:pt idx="7">
                  <c:v>11.2</c:v>
                </c:pt>
                <c:pt idx="8">
                  <c:v>14.7</c:v>
                </c:pt>
                <c:pt idx="9">
                  <c:v>14.2</c:v>
                </c:pt>
                <c:pt idx="10">
                  <c:v>13.6</c:v>
                </c:pt>
                <c:pt idx="11">
                  <c:v>14.9</c:v>
                </c:pt>
                <c:pt idx="12">
                  <c:v>17</c:v>
                </c:pt>
                <c:pt idx="13">
                  <c:v>16.5</c:v>
                </c:pt>
                <c:pt idx="14">
                  <c:v>16.600000000000001</c:v>
                </c:pt>
                <c:pt idx="15">
                  <c:v>16.2</c:v>
                </c:pt>
                <c:pt idx="16">
                  <c:v>16.399999999999999</c:v>
                </c:pt>
                <c:pt idx="17">
                  <c:v>17.2</c:v>
                </c:pt>
                <c:pt idx="18">
                  <c:v>19.100000000000001</c:v>
                </c:pt>
                <c:pt idx="19">
                  <c:v>20.8</c:v>
                </c:pt>
                <c:pt idx="20">
                  <c:v>23.3</c:v>
                </c:pt>
                <c:pt idx="21">
                  <c:v>23.2</c:v>
                </c:pt>
                <c:pt idx="22">
                  <c:v>26.4</c:v>
                </c:pt>
                <c:pt idx="23">
                  <c:v>24.5</c:v>
                </c:pt>
                <c:pt idx="24">
                  <c:v>25.1</c:v>
                </c:pt>
                <c:pt idx="25">
                  <c:v>25.3</c:v>
                </c:pt>
                <c:pt idx="26">
                  <c:v>24.3</c:v>
                </c:pt>
                <c:pt idx="27">
                  <c:v>22.3</c:v>
                </c:pt>
                <c:pt idx="28">
                  <c:v>25</c:v>
                </c:pt>
                <c:pt idx="29">
                  <c:v>25.4</c:v>
                </c:pt>
                <c:pt idx="30">
                  <c:v>20.100000000000001</c:v>
                </c:pt>
                <c:pt idx="31">
                  <c:v>22.5</c:v>
                </c:pt>
                <c:pt idx="32">
                  <c:v>24</c:v>
                </c:pt>
                <c:pt idx="33">
                  <c:v>20.8</c:v>
                </c:pt>
                <c:pt idx="34">
                  <c:v>16.899999999999999</c:v>
                </c:pt>
                <c:pt idx="35">
                  <c:v>19.3</c:v>
                </c:pt>
                <c:pt idx="36">
                  <c:v>18.100000000000001</c:v>
                </c:pt>
                <c:pt idx="37">
                  <c:v>16.2</c:v>
                </c:pt>
                <c:pt idx="38">
                  <c:v>16.5</c:v>
                </c:pt>
                <c:pt idx="39">
                  <c:v>16.399999999999999</c:v>
                </c:pt>
                <c:pt idx="40">
                  <c:v>18</c:v>
                </c:pt>
                <c:pt idx="41">
                  <c:v>16.8</c:v>
                </c:pt>
                <c:pt idx="42">
                  <c:v>17.8</c:v>
                </c:pt>
                <c:pt idx="43">
                  <c:v>18.5</c:v>
                </c:pt>
                <c:pt idx="44">
                  <c:v>16.600000000000001</c:v>
                </c:pt>
                <c:pt idx="45">
                  <c:v>18.5</c:v>
                </c:pt>
                <c:pt idx="46">
                  <c:v>15.8</c:v>
                </c:pt>
                <c:pt idx="47">
                  <c:v>18.2</c:v>
                </c:pt>
                <c:pt idx="48">
                  <c:v>17.7</c:v>
                </c:pt>
                <c:pt idx="49">
                  <c:v>19.5</c:v>
                </c:pt>
                <c:pt idx="50">
                  <c:v>18.600000000000001</c:v>
                </c:pt>
                <c:pt idx="51">
                  <c:v>17.7</c:v>
                </c:pt>
                <c:pt idx="52">
                  <c:v>19.8</c:v>
                </c:pt>
                <c:pt idx="53">
                  <c:v>20.6</c:v>
                </c:pt>
                <c:pt idx="54">
                  <c:v>18.600000000000001</c:v>
                </c:pt>
                <c:pt idx="55">
                  <c:v>17.600000000000001</c:v>
                </c:pt>
                <c:pt idx="56">
                  <c:v>20.2</c:v>
                </c:pt>
                <c:pt idx="57">
                  <c:v>18.7</c:v>
                </c:pt>
                <c:pt idx="58">
                  <c:v>17.8</c:v>
                </c:pt>
                <c:pt idx="59">
                  <c:v>17.7</c:v>
                </c:pt>
                <c:pt idx="60">
                  <c:v>17.3</c:v>
                </c:pt>
                <c:pt idx="61">
                  <c:v>17</c:v>
                </c:pt>
                <c:pt idx="62">
                  <c:v>14.1</c:v>
                </c:pt>
                <c:pt idx="63">
                  <c:v>17.2</c:v>
                </c:pt>
                <c:pt idx="64">
                  <c:v>15.1</c:v>
                </c:pt>
                <c:pt idx="65">
                  <c:v>15.2</c:v>
                </c:pt>
                <c:pt idx="66">
                  <c:v>16.100000000000001</c:v>
                </c:pt>
                <c:pt idx="67">
                  <c:v>16.5</c:v>
                </c:pt>
                <c:pt idx="68">
                  <c:v>15.2</c:v>
                </c:pt>
                <c:pt idx="69">
                  <c:v>14.6</c:v>
                </c:pt>
                <c:pt idx="70">
                  <c:v>13.9</c:v>
                </c:pt>
                <c:pt idx="71">
                  <c:v>16.3</c:v>
                </c:pt>
                <c:pt idx="72">
                  <c:v>12.5</c:v>
                </c:pt>
                <c:pt idx="73">
                  <c:v>14.6</c:v>
                </c:pt>
                <c:pt idx="74">
                  <c:v>11.7</c:v>
                </c:pt>
                <c:pt idx="75">
                  <c:v>12.6</c:v>
                </c:pt>
                <c:pt idx="76">
                  <c:v>14.8</c:v>
                </c:pt>
                <c:pt idx="77">
                  <c:v>12.2</c:v>
                </c:pt>
                <c:pt idx="78">
                  <c:v>14.1</c:v>
                </c:pt>
                <c:pt idx="79">
                  <c:v>10.6</c:v>
                </c:pt>
                <c:pt idx="80">
                  <c:v>13.8</c:v>
                </c:pt>
                <c:pt idx="81">
                  <c:v>13.6</c:v>
                </c:pt>
                <c:pt idx="82">
                  <c:v>13.2</c:v>
                </c:pt>
                <c:pt idx="83">
                  <c:v>15.1</c:v>
                </c:pt>
                <c:pt idx="84">
                  <c:v>16.899999999999999</c:v>
                </c:pt>
                <c:pt idx="85">
                  <c:v>12.6</c:v>
                </c:pt>
                <c:pt idx="86">
                  <c:v>16.7</c:v>
                </c:pt>
                <c:pt idx="87">
                  <c:v>14.6</c:v>
                </c:pt>
                <c:pt idx="88">
                  <c:v>17</c:v>
                </c:pt>
                <c:pt idx="89">
                  <c:v>15.1</c:v>
                </c:pt>
                <c:pt idx="90">
                  <c:v>16.8</c:v>
                </c:pt>
                <c:pt idx="91">
                  <c:v>17.399999999999999</c:v>
                </c:pt>
                <c:pt idx="92">
                  <c:v>18</c:v>
                </c:pt>
                <c:pt idx="93">
                  <c:v>19.600000000000001</c:v>
                </c:pt>
                <c:pt idx="94">
                  <c:v>24.4</c:v>
                </c:pt>
                <c:pt idx="95">
                  <c:v>25.1</c:v>
                </c:pt>
                <c:pt idx="96">
                  <c:v>23.3</c:v>
                </c:pt>
                <c:pt idx="97">
                  <c:v>24.1</c:v>
                </c:pt>
                <c:pt idx="98">
                  <c:v>21.6</c:v>
                </c:pt>
                <c:pt idx="99">
                  <c:v>24.2</c:v>
                </c:pt>
                <c:pt idx="100">
                  <c:v>27.1</c:v>
                </c:pt>
                <c:pt idx="101">
                  <c:v>27.8</c:v>
                </c:pt>
                <c:pt idx="102">
                  <c:v>25.3</c:v>
                </c:pt>
                <c:pt idx="103">
                  <c:v>26.2</c:v>
                </c:pt>
                <c:pt idx="104">
                  <c:v>23.9</c:v>
                </c:pt>
                <c:pt idx="105">
                  <c:v>23.6</c:v>
                </c:pt>
                <c:pt idx="106">
                  <c:v>25.4</c:v>
                </c:pt>
                <c:pt idx="107">
                  <c:v>29.4</c:v>
                </c:pt>
                <c:pt idx="108">
                  <c:v>25</c:v>
                </c:pt>
                <c:pt idx="109">
                  <c:v>21.9</c:v>
                </c:pt>
                <c:pt idx="110">
                  <c:v>21.9</c:v>
                </c:pt>
                <c:pt idx="111">
                  <c:v>23</c:v>
                </c:pt>
                <c:pt idx="112">
                  <c:v>22.3</c:v>
                </c:pt>
                <c:pt idx="113">
                  <c:v>19.5</c:v>
                </c:pt>
                <c:pt idx="114">
                  <c:v>17.399999999999999</c:v>
                </c:pt>
                <c:pt idx="115">
                  <c:v>20.6</c:v>
                </c:pt>
                <c:pt idx="116">
                  <c:v>20.8</c:v>
                </c:pt>
                <c:pt idx="117">
                  <c:v>18.8</c:v>
                </c:pt>
                <c:pt idx="118">
                  <c:v>20.8</c:v>
                </c:pt>
                <c:pt idx="119">
                  <c:v>22.3</c:v>
                </c:pt>
                <c:pt idx="120">
                  <c:v>23.4</c:v>
                </c:pt>
                <c:pt idx="121">
                  <c:v>18.7</c:v>
                </c:pt>
                <c:pt idx="122">
                  <c:v>20</c:v>
                </c:pt>
                <c:pt idx="123">
                  <c:v>21.2</c:v>
                </c:pt>
                <c:pt idx="124">
                  <c:v>19.3</c:v>
                </c:pt>
                <c:pt idx="125">
                  <c:v>25.3</c:v>
                </c:pt>
                <c:pt idx="126">
                  <c:v>19.8</c:v>
                </c:pt>
                <c:pt idx="127">
                  <c:v>19.899999999999999</c:v>
                </c:pt>
                <c:pt idx="128">
                  <c:v>19.3</c:v>
                </c:pt>
                <c:pt idx="129">
                  <c:v>21.6</c:v>
                </c:pt>
                <c:pt idx="130">
                  <c:v>18</c:v>
                </c:pt>
                <c:pt idx="131">
                  <c:v>25.4</c:v>
                </c:pt>
                <c:pt idx="132">
                  <c:v>20.7</c:v>
                </c:pt>
                <c:pt idx="133">
                  <c:v>17.8</c:v>
                </c:pt>
                <c:pt idx="134">
                  <c:v>15.8</c:v>
                </c:pt>
                <c:pt idx="135">
                  <c:v>17.8</c:v>
                </c:pt>
                <c:pt idx="136">
                  <c:v>19.600000000000001</c:v>
                </c:pt>
                <c:pt idx="137">
                  <c:v>13.1</c:v>
                </c:pt>
                <c:pt idx="138">
                  <c:v>19.5</c:v>
                </c:pt>
                <c:pt idx="139">
                  <c:v>19.899999999999999</c:v>
                </c:pt>
                <c:pt idx="140">
                  <c:v>19.399999999999999</c:v>
                </c:pt>
              </c:numCache>
            </c:numRef>
          </c:val>
          <c:smooth val="0"/>
          <c:extLst>
            <c:ext xmlns:c16="http://schemas.microsoft.com/office/drawing/2014/chart" uri="{C3380CC4-5D6E-409C-BE32-E72D297353CC}">
              <c16:uniqueId val="{00000000-09A5-4302-A6DE-91D75CB76DA4}"/>
            </c:ext>
          </c:extLst>
        </c:ser>
        <c:ser>
          <c:idx val="1"/>
          <c:order val="1"/>
          <c:tx>
            <c:v>Male 20-24</c:v>
          </c:tx>
          <c:spPr>
            <a:ln w="28575" cap="rnd">
              <a:solidFill>
                <a:schemeClr val="accent2"/>
              </a:solidFill>
              <a:round/>
            </a:ln>
            <a:effectLst/>
          </c:spPr>
          <c:marker>
            <c:symbol val="none"/>
          </c:marker>
          <c:val>
            <c:numRef>
              <c:f>matrix!$O$5:$O$145</c:f>
              <c:numCache>
                <c:formatCode>General</c:formatCode>
                <c:ptCount val="141"/>
                <c:pt idx="0">
                  <c:v>6</c:v>
                </c:pt>
                <c:pt idx="1">
                  <c:v>5.0999999999999996</c:v>
                </c:pt>
                <c:pt idx="2">
                  <c:v>4.7</c:v>
                </c:pt>
                <c:pt idx="3">
                  <c:v>3.6</c:v>
                </c:pt>
                <c:pt idx="4">
                  <c:v>5.2</c:v>
                </c:pt>
                <c:pt idx="5">
                  <c:v>7.3</c:v>
                </c:pt>
                <c:pt idx="6">
                  <c:v>6.6</c:v>
                </c:pt>
                <c:pt idx="7">
                  <c:v>7.7</c:v>
                </c:pt>
                <c:pt idx="8">
                  <c:v>9.1</c:v>
                </c:pt>
                <c:pt idx="9">
                  <c:v>9.1</c:v>
                </c:pt>
                <c:pt idx="10">
                  <c:v>10.6</c:v>
                </c:pt>
                <c:pt idx="11">
                  <c:v>12.1</c:v>
                </c:pt>
                <c:pt idx="12">
                  <c:v>13.3</c:v>
                </c:pt>
                <c:pt idx="13">
                  <c:v>13.8</c:v>
                </c:pt>
                <c:pt idx="14">
                  <c:v>14</c:v>
                </c:pt>
                <c:pt idx="15">
                  <c:v>11.7</c:v>
                </c:pt>
                <c:pt idx="16">
                  <c:v>11.9</c:v>
                </c:pt>
                <c:pt idx="17">
                  <c:v>13.4</c:v>
                </c:pt>
                <c:pt idx="18">
                  <c:v>13.3</c:v>
                </c:pt>
                <c:pt idx="19">
                  <c:v>13.9</c:v>
                </c:pt>
                <c:pt idx="20">
                  <c:v>16.5</c:v>
                </c:pt>
                <c:pt idx="21">
                  <c:v>18.399999999999999</c:v>
                </c:pt>
                <c:pt idx="22">
                  <c:v>20.399999999999999</c:v>
                </c:pt>
                <c:pt idx="23">
                  <c:v>21.7</c:v>
                </c:pt>
                <c:pt idx="24">
                  <c:v>21.1</c:v>
                </c:pt>
                <c:pt idx="25">
                  <c:v>18.5</c:v>
                </c:pt>
                <c:pt idx="26">
                  <c:v>18.600000000000001</c:v>
                </c:pt>
                <c:pt idx="27">
                  <c:v>18.899999999999999</c:v>
                </c:pt>
                <c:pt idx="28">
                  <c:v>19.2</c:v>
                </c:pt>
                <c:pt idx="29">
                  <c:v>17.600000000000001</c:v>
                </c:pt>
                <c:pt idx="30">
                  <c:v>15.1</c:v>
                </c:pt>
                <c:pt idx="31">
                  <c:v>15.7</c:v>
                </c:pt>
                <c:pt idx="32">
                  <c:v>15.2</c:v>
                </c:pt>
                <c:pt idx="33">
                  <c:v>14.5</c:v>
                </c:pt>
                <c:pt idx="34">
                  <c:v>11.9</c:v>
                </c:pt>
                <c:pt idx="35">
                  <c:v>12.7</c:v>
                </c:pt>
                <c:pt idx="36">
                  <c:v>9.3000000000000007</c:v>
                </c:pt>
                <c:pt idx="37">
                  <c:v>9.3000000000000007</c:v>
                </c:pt>
                <c:pt idx="38">
                  <c:v>9.1</c:v>
                </c:pt>
                <c:pt idx="39">
                  <c:v>10.3</c:v>
                </c:pt>
                <c:pt idx="40">
                  <c:v>10.7</c:v>
                </c:pt>
                <c:pt idx="41">
                  <c:v>8.6999999999999993</c:v>
                </c:pt>
                <c:pt idx="42">
                  <c:v>8.9</c:v>
                </c:pt>
                <c:pt idx="43">
                  <c:v>9.9</c:v>
                </c:pt>
                <c:pt idx="44">
                  <c:v>9.5</c:v>
                </c:pt>
                <c:pt idx="45">
                  <c:v>11.7</c:v>
                </c:pt>
                <c:pt idx="46">
                  <c:v>11.8</c:v>
                </c:pt>
                <c:pt idx="47">
                  <c:v>12.6</c:v>
                </c:pt>
                <c:pt idx="48">
                  <c:v>14.6</c:v>
                </c:pt>
                <c:pt idx="49">
                  <c:v>13.3</c:v>
                </c:pt>
                <c:pt idx="50">
                  <c:v>13.6</c:v>
                </c:pt>
                <c:pt idx="51">
                  <c:v>16.3</c:v>
                </c:pt>
                <c:pt idx="52">
                  <c:v>15.2</c:v>
                </c:pt>
                <c:pt idx="53">
                  <c:v>13.5</c:v>
                </c:pt>
                <c:pt idx="54">
                  <c:v>12</c:v>
                </c:pt>
                <c:pt idx="55">
                  <c:v>9.4</c:v>
                </c:pt>
                <c:pt idx="56">
                  <c:v>12.4</c:v>
                </c:pt>
                <c:pt idx="57">
                  <c:v>10.8</c:v>
                </c:pt>
                <c:pt idx="58">
                  <c:v>10.7</c:v>
                </c:pt>
                <c:pt idx="59">
                  <c:v>12.1</c:v>
                </c:pt>
                <c:pt idx="60">
                  <c:v>10</c:v>
                </c:pt>
                <c:pt idx="61">
                  <c:v>9.4</c:v>
                </c:pt>
                <c:pt idx="62">
                  <c:v>8</c:v>
                </c:pt>
                <c:pt idx="63">
                  <c:v>9.5</c:v>
                </c:pt>
                <c:pt idx="64">
                  <c:v>7.7</c:v>
                </c:pt>
                <c:pt idx="65">
                  <c:v>9.5</c:v>
                </c:pt>
                <c:pt idx="66">
                  <c:v>10.8</c:v>
                </c:pt>
                <c:pt idx="67">
                  <c:v>7.2</c:v>
                </c:pt>
                <c:pt idx="68">
                  <c:v>8.6999999999999993</c:v>
                </c:pt>
                <c:pt idx="69">
                  <c:v>6.9</c:v>
                </c:pt>
                <c:pt idx="70">
                  <c:v>6</c:v>
                </c:pt>
                <c:pt idx="71">
                  <c:v>6.2</c:v>
                </c:pt>
                <c:pt idx="72">
                  <c:v>5.0999999999999996</c:v>
                </c:pt>
                <c:pt idx="73">
                  <c:v>5.7</c:v>
                </c:pt>
                <c:pt idx="74">
                  <c:v>7.5</c:v>
                </c:pt>
                <c:pt idx="75">
                  <c:v>6.3</c:v>
                </c:pt>
                <c:pt idx="76">
                  <c:v>7.9</c:v>
                </c:pt>
                <c:pt idx="77">
                  <c:v>7</c:v>
                </c:pt>
                <c:pt idx="78">
                  <c:v>5.8</c:v>
                </c:pt>
                <c:pt idx="79">
                  <c:v>5.9</c:v>
                </c:pt>
                <c:pt idx="80">
                  <c:v>6.8</c:v>
                </c:pt>
                <c:pt idx="81">
                  <c:v>4.8</c:v>
                </c:pt>
                <c:pt idx="82">
                  <c:v>7.1</c:v>
                </c:pt>
                <c:pt idx="83">
                  <c:v>6.3</c:v>
                </c:pt>
                <c:pt idx="84">
                  <c:v>8.3000000000000007</c:v>
                </c:pt>
                <c:pt idx="85">
                  <c:v>4.8</c:v>
                </c:pt>
                <c:pt idx="86">
                  <c:v>5</c:v>
                </c:pt>
                <c:pt idx="87">
                  <c:v>5.6</c:v>
                </c:pt>
                <c:pt idx="88">
                  <c:v>8.3000000000000007</c:v>
                </c:pt>
                <c:pt idx="89">
                  <c:v>6.5</c:v>
                </c:pt>
                <c:pt idx="90">
                  <c:v>7.6</c:v>
                </c:pt>
                <c:pt idx="91">
                  <c:v>6.9</c:v>
                </c:pt>
                <c:pt idx="92">
                  <c:v>10.9</c:v>
                </c:pt>
                <c:pt idx="93">
                  <c:v>9.5</c:v>
                </c:pt>
                <c:pt idx="94">
                  <c:v>12.3</c:v>
                </c:pt>
                <c:pt idx="95">
                  <c:v>12.4</c:v>
                </c:pt>
                <c:pt idx="96">
                  <c:v>11.1</c:v>
                </c:pt>
                <c:pt idx="97">
                  <c:v>13.7</c:v>
                </c:pt>
                <c:pt idx="98">
                  <c:v>11</c:v>
                </c:pt>
                <c:pt idx="99">
                  <c:v>11.1</c:v>
                </c:pt>
                <c:pt idx="100">
                  <c:v>12.8</c:v>
                </c:pt>
                <c:pt idx="101">
                  <c:v>10.1</c:v>
                </c:pt>
                <c:pt idx="102">
                  <c:v>10.9</c:v>
                </c:pt>
                <c:pt idx="103">
                  <c:v>11.7</c:v>
                </c:pt>
                <c:pt idx="104">
                  <c:v>15</c:v>
                </c:pt>
                <c:pt idx="105">
                  <c:v>11.2</c:v>
                </c:pt>
                <c:pt idx="106">
                  <c:v>12.7</c:v>
                </c:pt>
                <c:pt idx="107">
                  <c:v>10.7</c:v>
                </c:pt>
                <c:pt idx="108">
                  <c:v>10.5</c:v>
                </c:pt>
                <c:pt idx="109">
                  <c:v>10.3</c:v>
                </c:pt>
                <c:pt idx="110">
                  <c:v>11.2</c:v>
                </c:pt>
                <c:pt idx="111">
                  <c:v>10.3</c:v>
                </c:pt>
                <c:pt idx="112">
                  <c:v>10.8</c:v>
                </c:pt>
                <c:pt idx="113">
                  <c:v>8.6</c:v>
                </c:pt>
                <c:pt idx="114">
                  <c:v>9</c:v>
                </c:pt>
                <c:pt idx="115">
                  <c:v>10.7</c:v>
                </c:pt>
                <c:pt idx="116">
                  <c:v>10.9</c:v>
                </c:pt>
                <c:pt idx="117">
                  <c:v>9.3000000000000007</c:v>
                </c:pt>
                <c:pt idx="118">
                  <c:v>11.5</c:v>
                </c:pt>
                <c:pt idx="119">
                  <c:v>9</c:v>
                </c:pt>
                <c:pt idx="120">
                  <c:v>9</c:v>
                </c:pt>
                <c:pt idx="121">
                  <c:v>8.5</c:v>
                </c:pt>
                <c:pt idx="122">
                  <c:v>10.3</c:v>
                </c:pt>
                <c:pt idx="123">
                  <c:v>9.9</c:v>
                </c:pt>
                <c:pt idx="124">
                  <c:v>8.5</c:v>
                </c:pt>
                <c:pt idx="125">
                  <c:v>7.9</c:v>
                </c:pt>
                <c:pt idx="126">
                  <c:v>8.4</c:v>
                </c:pt>
                <c:pt idx="127">
                  <c:v>7.9</c:v>
                </c:pt>
                <c:pt idx="128">
                  <c:v>9.1</c:v>
                </c:pt>
                <c:pt idx="129">
                  <c:v>7.9</c:v>
                </c:pt>
                <c:pt idx="130">
                  <c:v>7.4</c:v>
                </c:pt>
                <c:pt idx="131">
                  <c:v>8.1</c:v>
                </c:pt>
                <c:pt idx="132">
                  <c:v>7.5</c:v>
                </c:pt>
                <c:pt idx="133">
                  <c:v>5.9</c:v>
                </c:pt>
                <c:pt idx="134">
                  <c:v>7.6</c:v>
                </c:pt>
                <c:pt idx="135">
                  <c:v>9.1</c:v>
                </c:pt>
                <c:pt idx="136">
                  <c:v>9.1999999999999993</c:v>
                </c:pt>
                <c:pt idx="137">
                  <c:v>8.1999999999999993</c:v>
                </c:pt>
                <c:pt idx="138">
                  <c:v>9.6</c:v>
                </c:pt>
                <c:pt idx="139">
                  <c:v>9.5</c:v>
                </c:pt>
                <c:pt idx="140">
                  <c:v>10.9</c:v>
                </c:pt>
              </c:numCache>
            </c:numRef>
          </c:val>
          <c:smooth val="0"/>
          <c:extLst>
            <c:ext xmlns:c16="http://schemas.microsoft.com/office/drawing/2014/chart" uri="{C3380CC4-5D6E-409C-BE32-E72D297353CC}">
              <c16:uniqueId val="{00000001-09A5-4302-A6DE-91D75CB76DA4}"/>
            </c:ext>
          </c:extLst>
        </c:ser>
        <c:ser>
          <c:idx val="2"/>
          <c:order val="2"/>
          <c:tx>
            <c:v>Female 15-19</c:v>
          </c:tx>
          <c:spPr>
            <a:ln w="28575" cap="rnd">
              <a:solidFill>
                <a:schemeClr val="accent3"/>
              </a:solidFill>
              <a:round/>
            </a:ln>
            <a:effectLst/>
          </c:spPr>
          <c:marker>
            <c:symbol val="none"/>
          </c:marker>
          <c:val>
            <c:numRef>
              <c:f>matrix!$W$5:$W$145</c:f>
              <c:numCache>
                <c:formatCode>General</c:formatCode>
                <c:ptCount val="141"/>
                <c:pt idx="0">
                  <c:v>12.9</c:v>
                </c:pt>
                <c:pt idx="1">
                  <c:v>11.4</c:v>
                </c:pt>
                <c:pt idx="2">
                  <c:v>10.7</c:v>
                </c:pt>
                <c:pt idx="3">
                  <c:v>10.7</c:v>
                </c:pt>
                <c:pt idx="4">
                  <c:v>11.7</c:v>
                </c:pt>
                <c:pt idx="5">
                  <c:v>9.8000000000000007</c:v>
                </c:pt>
                <c:pt idx="6">
                  <c:v>7.7</c:v>
                </c:pt>
                <c:pt idx="7">
                  <c:v>10.9</c:v>
                </c:pt>
                <c:pt idx="8">
                  <c:v>12.2</c:v>
                </c:pt>
                <c:pt idx="9">
                  <c:v>12.2</c:v>
                </c:pt>
                <c:pt idx="10">
                  <c:v>14</c:v>
                </c:pt>
                <c:pt idx="11">
                  <c:v>13</c:v>
                </c:pt>
                <c:pt idx="12">
                  <c:v>17.600000000000001</c:v>
                </c:pt>
                <c:pt idx="13">
                  <c:v>16.100000000000001</c:v>
                </c:pt>
                <c:pt idx="14">
                  <c:v>15.5</c:v>
                </c:pt>
                <c:pt idx="15">
                  <c:v>16.8</c:v>
                </c:pt>
                <c:pt idx="16">
                  <c:v>17.899999999999999</c:v>
                </c:pt>
                <c:pt idx="17">
                  <c:v>15.9</c:v>
                </c:pt>
                <c:pt idx="18">
                  <c:v>16.100000000000001</c:v>
                </c:pt>
                <c:pt idx="19">
                  <c:v>19.8</c:v>
                </c:pt>
                <c:pt idx="20">
                  <c:v>20.7</c:v>
                </c:pt>
                <c:pt idx="21">
                  <c:v>20.399999999999999</c:v>
                </c:pt>
                <c:pt idx="22">
                  <c:v>21.3</c:v>
                </c:pt>
                <c:pt idx="23">
                  <c:v>21.1</c:v>
                </c:pt>
                <c:pt idx="24">
                  <c:v>21.6</c:v>
                </c:pt>
                <c:pt idx="25">
                  <c:v>20.6</c:v>
                </c:pt>
                <c:pt idx="26">
                  <c:v>21.1</c:v>
                </c:pt>
                <c:pt idx="27">
                  <c:v>23.6</c:v>
                </c:pt>
                <c:pt idx="28">
                  <c:v>22.2</c:v>
                </c:pt>
                <c:pt idx="29">
                  <c:v>23.8</c:v>
                </c:pt>
                <c:pt idx="30">
                  <c:v>20.2</c:v>
                </c:pt>
                <c:pt idx="31">
                  <c:v>19.7</c:v>
                </c:pt>
                <c:pt idx="32">
                  <c:v>24.2</c:v>
                </c:pt>
                <c:pt idx="33">
                  <c:v>21.3</c:v>
                </c:pt>
                <c:pt idx="34">
                  <c:v>16.100000000000001</c:v>
                </c:pt>
                <c:pt idx="35">
                  <c:v>16.3</c:v>
                </c:pt>
                <c:pt idx="36">
                  <c:v>17.100000000000001</c:v>
                </c:pt>
                <c:pt idx="37">
                  <c:v>15.7</c:v>
                </c:pt>
                <c:pt idx="38">
                  <c:v>16</c:v>
                </c:pt>
                <c:pt idx="39">
                  <c:v>17.7</c:v>
                </c:pt>
                <c:pt idx="40">
                  <c:v>16.8</c:v>
                </c:pt>
                <c:pt idx="41">
                  <c:v>14.8</c:v>
                </c:pt>
                <c:pt idx="42">
                  <c:v>14.8</c:v>
                </c:pt>
                <c:pt idx="43">
                  <c:v>12.7</c:v>
                </c:pt>
                <c:pt idx="44">
                  <c:v>18.3</c:v>
                </c:pt>
                <c:pt idx="45">
                  <c:v>14.6</c:v>
                </c:pt>
                <c:pt idx="46">
                  <c:v>16.5</c:v>
                </c:pt>
                <c:pt idx="47">
                  <c:v>16.3</c:v>
                </c:pt>
                <c:pt idx="48">
                  <c:v>18.7</c:v>
                </c:pt>
                <c:pt idx="49">
                  <c:v>17.600000000000001</c:v>
                </c:pt>
                <c:pt idx="50">
                  <c:v>16.8</c:v>
                </c:pt>
                <c:pt idx="51">
                  <c:v>17.600000000000001</c:v>
                </c:pt>
                <c:pt idx="52">
                  <c:v>17.5</c:v>
                </c:pt>
                <c:pt idx="53">
                  <c:v>14.8</c:v>
                </c:pt>
                <c:pt idx="54">
                  <c:v>13.9</c:v>
                </c:pt>
                <c:pt idx="55">
                  <c:v>15.1</c:v>
                </c:pt>
                <c:pt idx="56">
                  <c:v>17.100000000000001</c:v>
                </c:pt>
                <c:pt idx="57">
                  <c:v>18.600000000000001</c:v>
                </c:pt>
                <c:pt idx="58">
                  <c:v>14.6</c:v>
                </c:pt>
                <c:pt idx="59">
                  <c:v>14.4</c:v>
                </c:pt>
                <c:pt idx="60">
                  <c:v>17.2</c:v>
                </c:pt>
                <c:pt idx="61">
                  <c:v>14.9</c:v>
                </c:pt>
                <c:pt idx="62">
                  <c:v>16.399999999999999</c:v>
                </c:pt>
                <c:pt idx="63">
                  <c:v>13.3</c:v>
                </c:pt>
                <c:pt idx="64">
                  <c:v>17.600000000000001</c:v>
                </c:pt>
                <c:pt idx="65">
                  <c:v>16</c:v>
                </c:pt>
                <c:pt idx="66">
                  <c:v>12.9</c:v>
                </c:pt>
                <c:pt idx="67">
                  <c:v>16.399999999999999</c:v>
                </c:pt>
                <c:pt idx="68">
                  <c:v>17.3</c:v>
                </c:pt>
                <c:pt idx="69">
                  <c:v>13.7</c:v>
                </c:pt>
                <c:pt idx="70">
                  <c:v>12.3</c:v>
                </c:pt>
                <c:pt idx="71">
                  <c:v>13.1</c:v>
                </c:pt>
                <c:pt idx="72">
                  <c:v>14.2</c:v>
                </c:pt>
                <c:pt idx="73">
                  <c:v>15.7</c:v>
                </c:pt>
                <c:pt idx="74">
                  <c:v>12.6</c:v>
                </c:pt>
                <c:pt idx="75">
                  <c:v>11.2</c:v>
                </c:pt>
                <c:pt idx="76">
                  <c:v>14.1</c:v>
                </c:pt>
                <c:pt idx="77">
                  <c:v>13.3</c:v>
                </c:pt>
                <c:pt idx="78">
                  <c:v>14.6</c:v>
                </c:pt>
                <c:pt idx="79">
                  <c:v>13.3</c:v>
                </c:pt>
                <c:pt idx="80">
                  <c:v>15.7</c:v>
                </c:pt>
                <c:pt idx="81">
                  <c:v>14.5</c:v>
                </c:pt>
                <c:pt idx="82">
                  <c:v>13.8</c:v>
                </c:pt>
                <c:pt idx="83">
                  <c:v>13.6</c:v>
                </c:pt>
                <c:pt idx="84">
                  <c:v>14.5</c:v>
                </c:pt>
                <c:pt idx="85">
                  <c:v>14</c:v>
                </c:pt>
                <c:pt idx="86">
                  <c:v>13.7</c:v>
                </c:pt>
                <c:pt idx="87">
                  <c:v>11</c:v>
                </c:pt>
                <c:pt idx="88">
                  <c:v>13.7</c:v>
                </c:pt>
                <c:pt idx="89">
                  <c:v>14.1</c:v>
                </c:pt>
                <c:pt idx="90">
                  <c:v>12.6</c:v>
                </c:pt>
                <c:pt idx="91">
                  <c:v>17.7</c:v>
                </c:pt>
                <c:pt idx="92">
                  <c:v>18.7</c:v>
                </c:pt>
                <c:pt idx="93">
                  <c:v>24.3</c:v>
                </c:pt>
                <c:pt idx="94">
                  <c:v>24.5</c:v>
                </c:pt>
                <c:pt idx="95">
                  <c:v>25.2</c:v>
                </c:pt>
                <c:pt idx="96">
                  <c:v>25.7</c:v>
                </c:pt>
                <c:pt idx="97">
                  <c:v>23.8</c:v>
                </c:pt>
                <c:pt idx="98">
                  <c:v>24.8</c:v>
                </c:pt>
                <c:pt idx="99">
                  <c:v>25.7</c:v>
                </c:pt>
                <c:pt idx="100">
                  <c:v>25.2</c:v>
                </c:pt>
                <c:pt idx="101">
                  <c:v>23.8</c:v>
                </c:pt>
                <c:pt idx="102">
                  <c:v>18.2</c:v>
                </c:pt>
                <c:pt idx="103">
                  <c:v>19.2</c:v>
                </c:pt>
                <c:pt idx="104">
                  <c:v>21.5</c:v>
                </c:pt>
                <c:pt idx="105">
                  <c:v>23</c:v>
                </c:pt>
                <c:pt idx="106">
                  <c:v>21.8</c:v>
                </c:pt>
                <c:pt idx="107">
                  <c:v>28</c:v>
                </c:pt>
                <c:pt idx="108">
                  <c:v>23.3</c:v>
                </c:pt>
                <c:pt idx="109">
                  <c:v>24.2</c:v>
                </c:pt>
                <c:pt idx="110">
                  <c:v>21.8</c:v>
                </c:pt>
                <c:pt idx="111">
                  <c:v>23.2</c:v>
                </c:pt>
                <c:pt idx="112">
                  <c:v>21</c:v>
                </c:pt>
                <c:pt idx="113">
                  <c:v>18.899999999999999</c:v>
                </c:pt>
                <c:pt idx="114">
                  <c:v>19.899999999999999</c:v>
                </c:pt>
                <c:pt idx="115">
                  <c:v>20.6</c:v>
                </c:pt>
                <c:pt idx="116">
                  <c:v>19.5</c:v>
                </c:pt>
                <c:pt idx="117">
                  <c:v>20.3</c:v>
                </c:pt>
                <c:pt idx="118">
                  <c:v>20.8</c:v>
                </c:pt>
                <c:pt idx="119">
                  <c:v>20.2</c:v>
                </c:pt>
                <c:pt idx="120">
                  <c:v>21</c:v>
                </c:pt>
                <c:pt idx="121">
                  <c:v>18.600000000000001</c:v>
                </c:pt>
                <c:pt idx="122">
                  <c:v>19.8</c:v>
                </c:pt>
                <c:pt idx="123">
                  <c:v>22.5</c:v>
                </c:pt>
                <c:pt idx="124">
                  <c:v>22.2</c:v>
                </c:pt>
                <c:pt idx="125">
                  <c:v>16.8</c:v>
                </c:pt>
                <c:pt idx="126">
                  <c:v>20.100000000000001</c:v>
                </c:pt>
                <c:pt idx="127">
                  <c:v>19.2</c:v>
                </c:pt>
                <c:pt idx="128">
                  <c:v>18.8</c:v>
                </c:pt>
                <c:pt idx="129">
                  <c:v>18.8</c:v>
                </c:pt>
                <c:pt idx="130">
                  <c:v>13.1</c:v>
                </c:pt>
                <c:pt idx="131">
                  <c:v>17.3</c:v>
                </c:pt>
                <c:pt idx="132">
                  <c:v>19.3</c:v>
                </c:pt>
                <c:pt idx="133">
                  <c:v>17.7</c:v>
                </c:pt>
                <c:pt idx="134">
                  <c:v>15.9</c:v>
                </c:pt>
                <c:pt idx="135">
                  <c:v>18.3</c:v>
                </c:pt>
                <c:pt idx="136">
                  <c:v>18.3</c:v>
                </c:pt>
                <c:pt idx="137">
                  <c:v>15</c:v>
                </c:pt>
                <c:pt idx="138">
                  <c:v>19.5</c:v>
                </c:pt>
                <c:pt idx="139">
                  <c:v>21.1</c:v>
                </c:pt>
                <c:pt idx="140">
                  <c:v>18.2</c:v>
                </c:pt>
              </c:numCache>
            </c:numRef>
          </c:val>
          <c:smooth val="0"/>
          <c:extLst>
            <c:ext xmlns:c16="http://schemas.microsoft.com/office/drawing/2014/chart" uri="{C3380CC4-5D6E-409C-BE32-E72D297353CC}">
              <c16:uniqueId val="{00000002-09A5-4302-A6DE-91D75CB76DA4}"/>
            </c:ext>
          </c:extLst>
        </c:ser>
        <c:ser>
          <c:idx val="3"/>
          <c:order val="3"/>
          <c:tx>
            <c:v>Female 20-24</c:v>
          </c:tx>
          <c:spPr>
            <a:ln w="28575" cap="rnd">
              <a:solidFill>
                <a:schemeClr val="accent4"/>
              </a:solidFill>
              <a:round/>
            </a:ln>
            <a:effectLst/>
          </c:spPr>
          <c:marker>
            <c:symbol val="none"/>
          </c:marker>
          <c:val>
            <c:numRef>
              <c:f>matrix!$AE$5:$AE$145</c:f>
              <c:numCache>
                <c:formatCode>General</c:formatCode>
                <c:ptCount val="141"/>
                <c:pt idx="0">
                  <c:v>5.0999999999999996</c:v>
                </c:pt>
                <c:pt idx="1">
                  <c:v>5.0999999999999996</c:v>
                </c:pt>
                <c:pt idx="2">
                  <c:v>5</c:v>
                </c:pt>
                <c:pt idx="3">
                  <c:v>5.5</c:v>
                </c:pt>
                <c:pt idx="4">
                  <c:v>5.4</c:v>
                </c:pt>
                <c:pt idx="5">
                  <c:v>6.1</c:v>
                </c:pt>
                <c:pt idx="6">
                  <c:v>5.2</c:v>
                </c:pt>
                <c:pt idx="7">
                  <c:v>5.5</c:v>
                </c:pt>
                <c:pt idx="8">
                  <c:v>6.3</c:v>
                </c:pt>
                <c:pt idx="9">
                  <c:v>8.9</c:v>
                </c:pt>
                <c:pt idx="10">
                  <c:v>7.2</c:v>
                </c:pt>
                <c:pt idx="11">
                  <c:v>7.4</c:v>
                </c:pt>
                <c:pt idx="12">
                  <c:v>9.8000000000000007</c:v>
                </c:pt>
                <c:pt idx="13">
                  <c:v>9.6</c:v>
                </c:pt>
                <c:pt idx="14">
                  <c:v>10.4</c:v>
                </c:pt>
                <c:pt idx="15">
                  <c:v>9.8000000000000007</c:v>
                </c:pt>
                <c:pt idx="16">
                  <c:v>9.6</c:v>
                </c:pt>
                <c:pt idx="17">
                  <c:v>9.6</c:v>
                </c:pt>
                <c:pt idx="18">
                  <c:v>10.4</c:v>
                </c:pt>
                <c:pt idx="19">
                  <c:v>10.8</c:v>
                </c:pt>
                <c:pt idx="20">
                  <c:v>15</c:v>
                </c:pt>
                <c:pt idx="21">
                  <c:v>13.7</c:v>
                </c:pt>
                <c:pt idx="22">
                  <c:v>15.4</c:v>
                </c:pt>
                <c:pt idx="23">
                  <c:v>13.5</c:v>
                </c:pt>
                <c:pt idx="24">
                  <c:v>18.2</c:v>
                </c:pt>
                <c:pt idx="25">
                  <c:v>11.7</c:v>
                </c:pt>
                <c:pt idx="26">
                  <c:v>12.7</c:v>
                </c:pt>
                <c:pt idx="27">
                  <c:v>12.4</c:v>
                </c:pt>
                <c:pt idx="28">
                  <c:v>14.6</c:v>
                </c:pt>
                <c:pt idx="29">
                  <c:v>12.2</c:v>
                </c:pt>
                <c:pt idx="30">
                  <c:v>11.6</c:v>
                </c:pt>
                <c:pt idx="31">
                  <c:v>14.1</c:v>
                </c:pt>
                <c:pt idx="32">
                  <c:v>12.9</c:v>
                </c:pt>
                <c:pt idx="33">
                  <c:v>12.5</c:v>
                </c:pt>
                <c:pt idx="34">
                  <c:v>11</c:v>
                </c:pt>
                <c:pt idx="35">
                  <c:v>10.1</c:v>
                </c:pt>
                <c:pt idx="36">
                  <c:v>11.2</c:v>
                </c:pt>
                <c:pt idx="37">
                  <c:v>7.9</c:v>
                </c:pt>
                <c:pt idx="38">
                  <c:v>8</c:v>
                </c:pt>
                <c:pt idx="39">
                  <c:v>9.4</c:v>
                </c:pt>
                <c:pt idx="40">
                  <c:v>9.5</c:v>
                </c:pt>
                <c:pt idx="41">
                  <c:v>8.1999999999999993</c:v>
                </c:pt>
                <c:pt idx="42">
                  <c:v>9.1999999999999993</c:v>
                </c:pt>
                <c:pt idx="43">
                  <c:v>9.6</c:v>
                </c:pt>
                <c:pt idx="44">
                  <c:v>10.9</c:v>
                </c:pt>
                <c:pt idx="45">
                  <c:v>10</c:v>
                </c:pt>
                <c:pt idx="46">
                  <c:v>12.5</c:v>
                </c:pt>
                <c:pt idx="47">
                  <c:v>10.9</c:v>
                </c:pt>
                <c:pt idx="48">
                  <c:v>13.4</c:v>
                </c:pt>
                <c:pt idx="49">
                  <c:v>10.4</c:v>
                </c:pt>
                <c:pt idx="50">
                  <c:v>9.6999999999999993</c:v>
                </c:pt>
                <c:pt idx="51">
                  <c:v>10.3</c:v>
                </c:pt>
                <c:pt idx="52">
                  <c:v>11.5</c:v>
                </c:pt>
                <c:pt idx="53">
                  <c:v>12.1</c:v>
                </c:pt>
                <c:pt idx="54">
                  <c:v>11.1</c:v>
                </c:pt>
                <c:pt idx="55">
                  <c:v>10</c:v>
                </c:pt>
                <c:pt idx="56">
                  <c:v>11.7</c:v>
                </c:pt>
                <c:pt idx="57">
                  <c:v>8.1999999999999993</c:v>
                </c:pt>
                <c:pt idx="58">
                  <c:v>7.1</c:v>
                </c:pt>
                <c:pt idx="59">
                  <c:v>9.8000000000000007</c:v>
                </c:pt>
                <c:pt idx="60">
                  <c:v>10.199999999999999</c:v>
                </c:pt>
                <c:pt idx="61">
                  <c:v>7.2</c:v>
                </c:pt>
                <c:pt idx="62">
                  <c:v>8.4</c:v>
                </c:pt>
                <c:pt idx="63">
                  <c:v>9.9</c:v>
                </c:pt>
                <c:pt idx="64">
                  <c:v>8.5</c:v>
                </c:pt>
                <c:pt idx="65">
                  <c:v>6.9</c:v>
                </c:pt>
                <c:pt idx="66">
                  <c:v>10.1</c:v>
                </c:pt>
                <c:pt idx="67">
                  <c:v>7.5</c:v>
                </c:pt>
                <c:pt idx="68">
                  <c:v>9.1</c:v>
                </c:pt>
                <c:pt idx="69">
                  <c:v>7.3</c:v>
                </c:pt>
                <c:pt idx="70">
                  <c:v>6.2</c:v>
                </c:pt>
                <c:pt idx="71">
                  <c:v>8.5</c:v>
                </c:pt>
                <c:pt idx="72">
                  <c:v>8.5</c:v>
                </c:pt>
                <c:pt idx="73">
                  <c:v>9.3000000000000007</c:v>
                </c:pt>
                <c:pt idx="74">
                  <c:v>7</c:v>
                </c:pt>
                <c:pt idx="75">
                  <c:v>7.6</c:v>
                </c:pt>
                <c:pt idx="76">
                  <c:v>8.8000000000000007</c:v>
                </c:pt>
                <c:pt idx="77">
                  <c:v>7.1</c:v>
                </c:pt>
                <c:pt idx="78">
                  <c:v>5.9</c:v>
                </c:pt>
                <c:pt idx="79">
                  <c:v>6.5</c:v>
                </c:pt>
                <c:pt idx="80">
                  <c:v>8.6999999999999993</c:v>
                </c:pt>
                <c:pt idx="81">
                  <c:v>6.5</c:v>
                </c:pt>
                <c:pt idx="82">
                  <c:v>6.8</c:v>
                </c:pt>
                <c:pt idx="83">
                  <c:v>6.2</c:v>
                </c:pt>
                <c:pt idx="84">
                  <c:v>9.3000000000000007</c:v>
                </c:pt>
                <c:pt idx="85">
                  <c:v>7.3</c:v>
                </c:pt>
                <c:pt idx="86">
                  <c:v>6.1</c:v>
                </c:pt>
                <c:pt idx="87">
                  <c:v>4.5999999999999996</c:v>
                </c:pt>
                <c:pt idx="88">
                  <c:v>8.4</c:v>
                </c:pt>
                <c:pt idx="89">
                  <c:v>6.4</c:v>
                </c:pt>
                <c:pt idx="90">
                  <c:v>6.8</c:v>
                </c:pt>
                <c:pt idx="91">
                  <c:v>7.5</c:v>
                </c:pt>
                <c:pt idx="92">
                  <c:v>11.1</c:v>
                </c:pt>
                <c:pt idx="93">
                  <c:v>13.1</c:v>
                </c:pt>
                <c:pt idx="94">
                  <c:v>8.6</c:v>
                </c:pt>
                <c:pt idx="95">
                  <c:v>11.5</c:v>
                </c:pt>
                <c:pt idx="96">
                  <c:v>10.7</c:v>
                </c:pt>
                <c:pt idx="97">
                  <c:v>12.1</c:v>
                </c:pt>
                <c:pt idx="98">
                  <c:v>11.3</c:v>
                </c:pt>
                <c:pt idx="99">
                  <c:v>10.1</c:v>
                </c:pt>
                <c:pt idx="100">
                  <c:v>11</c:v>
                </c:pt>
                <c:pt idx="101">
                  <c:v>9.6</c:v>
                </c:pt>
                <c:pt idx="102">
                  <c:v>11.5</c:v>
                </c:pt>
                <c:pt idx="103">
                  <c:v>11.4</c:v>
                </c:pt>
                <c:pt idx="104">
                  <c:v>13.7</c:v>
                </c:pt>
                <c:pt idx="105">
                  <c:v>11.4</c:v>
                </c:pt>
                <c:pt idx="106">
                  <c:v>11.3</c:v>
                </c:pt>
                <c:pt idx="107">
                  <c:v>13.3</c:v>
                </c:pt>
                <c:pt idx="108">
                  <c:v>11.3</c:v>
                </c:pt>
                <c:pt idx="109">
                  <c:v>10.9</c:v>
                </c:pt>
                <c:pt idx="110">
                  <c:v>11.7</c:v>
                </c:pt>
                <c:pt idx="111">
                  <c:v>10.6</c:v>
                </c:pt>
                <c:pt idx="112">
                  <c:v>12.5</c:v>
                </c:pt>
                <c:pt idx="113">
                  <c:v>12.1</c:v>
                </c:pt>
                <c:pt idx="114">
                  <c:v>11</c:v>
                </c:pt>
                <c:pt idx="115">
                  <c:v>10.5</c:v>
                </c:pt>
                <c:pt idx="116">
                  <c:v>11.5</c:v>
                </c:pt>
                <c:pt idx="117">
                  <c:v>11</c:v>
                </c:pt>
                <c:pt idx="118">
                  <c:v>10.1</c:v>
                </c:pt>
                <c:pt idx="119">
                  <c:v>7.2</c:v>
                </c:pt>
                <c:pt idx="120">
                  <c:v>11</c:v>
                </c:pt>
                <c:pt idx="121">
                  <c:v>10.1</c:v>
                </c:pt>
                <c:pt idx="122">
                  <c:v>8.1</c:v>
                </c:pt>
                <c:pt idx="123">
                  <c:v>8.9</c:v>
                </c:pt>
                <c:pt idx="124">
                  <c:v>9.9</c:v>
                </c:pt>
                <c:pt idx="125">
                  <c:v>9.5</c:v>
                </c:pt>
                <c:pt idx="126">
                  <c:v>9.8000000000000007</c:v>
                </c:pt>
                <c:pt idx="127">
                  <c:v>9</c:v>
                </c:pt>
                <c:pt idx="128">
                  <c:v>8.6999999999999993</c:v>
                </c:pt>
                <c:pt idx="129">
                  <c:v>6.8</c:v>
                </c:pt>
                <c:pt idx="130">
                  <c:v>5.3</c:v>
                </c:pt>
                <c:pt idx="131">
                  <c:v>8.6</c:v>
                </c:pt>
                <c:pt idx="132">
                  <c:v>9.4</c:v>
                </c:pt>
                <c:pt idx="133">
                  <c:v>7.3</c:v>
                </c:pt>
                <c:pt idx="134">
                  <c:v>7.7</c:v>
                </c:pt>
                <c:pt idx="135">
                  <c:v>6.1</c:v>
                </c:pt>
                <c:pt idx="136">
                  <c:v>8.5</c:v>
                </c:pt>
                <c:pt idx="137">
                  <c:v>7.8</c:v>
                </c:pt>
                <c:pt idx="138">
                  <c:v>10.3</c:v>
                </c:pt>
                <c:pt idx="139">
                  <c:v>10.4</c:v>
                </c:pt>
                <c:pt idx="140">
                  <c:v>8.9</c:v>
                </c:pt>
              </c:numCache>
            </c:numRef>
          </c:val>
          <c:smooth val="0"/>
          <c:extLst>
            <c:ext xmlns:c16="http://schemas.microsoft.com/office/drawing/2014/chart" uri="{C3380CC4-5D6E-409C-BE32-E72D297353CC}">
              <c16:uniqueId val="{00000003-09A5-4302-A6DE-91D75CB76DA4}"/>
            </c:ext>
          </c:extLst>
        </c:ser>
        <c:ser>
          <c:idx val="4"/>
          <c:order val="4"/>
          <c:tx>
            <c:v>Both sexes all ages</c:v>
          </c:tx>
          <c:spPr>
            <a:ln w="76200" cap="rnd">
              <a:solidFill>
                <a:schemeClr val="accent5"/>
              </a:solidFill>
              <a:round/>
            </a:ln>
            <a:effectLst/>
          </c:spPr>
          <c:marker>
            <c:symbol val="none"/>
          </c:marker>
          <c:val>
            <c:numRef>
              <c:f>matrix!$BS$5:$BS$145</c:f>
              <c:numCache>
                <c:formatCode>General</c:formatCode>
                <c:ptCount val="141"/>
                <c:pt idx="0">
                  <c:v>4.4000000000000004</c:v>
                </c:pt>
                <c:pt idx="1">
                  <c:v>4.0999999999999996</c:v>
                </c:pt>
                <c:pt idx="2">
                  <c:v>4.0999999999999996</c:v>
                </c:pt>
                <c:pt idx="3">
                  <c:v>4.0999999999999996</c:v>
                </c:pt>
                <c:pt idx="4">
                  <c:v>4.3</c:v>
                </c:pt>
                <c:pt idx="5">
                  <c:v>4.2</c:v>
                </c:pt>
                <c:pt idx="6">
                  <c:v>4.0999999999999996</c:v>
                </c:pt>
                <c:pt idx="7">
                  <c:v>4.3</c:v>
                </c:pt>
                <c:pt idx="8">
                  <c:v>5.2</c:v>
                </c:pt>
                <c:pt idx="9">
                  <c:v>5.5</c:v>
                </c:pt>
                <c:pt idx="10">
                  <c:v>6.3</c:v>
                </c:pt>
                <c:pt idx="11">
                  <c:v>6.2</c:v>
                </c:pt>
                <c:pt idx="12">
                  <c:v>7.4</c:v>
                </c:pt>
                <c:pt idx="13">
                  <c:v>7.4</c:v>
                </c:pt>
                <c:pt idx="14">
                  <c:v>7.2</c:v>
                </c:pt>
                <c:pt idx="15">
                  <c:v>7.1</c:v>
                </c:pt>
                <c:pt idx="16">
                  <c:v>7.5</c:v>
                </c:pt>
                <c:pt idx="17">
                  <c:v>7.6</c:v>
                </c:pt>
                <c:pt idx="18">
                  <c:v>8</c:v>
                </c:pt>
                <c:pt idx="19">
                  <c:v>8.8000000000000007</c:v>
                </c:pt>
                <c:pt idx="20">
                  <c:v>10.199999999999999</c:v>
                </c:pt>
                <c:pt idx="21">
                  <c:v>10.3</c:v>
                </c:pt>
                <c:pt idx="22">
                  <c:v>11</c:v>
                </c:pt>
                <c:pt idx="23">
                  <c:v>10.9</c:v>
                </c:pt>
                <c:pt idx="24">
                  <c:v>11.4</c:v>
                </c:pt>
                <c:pt idx="25">
                  <c:v>10.3</c:v>
                </c:pt>
                <c:pt idx="26">
                  <c:v>10.4</c:v>
                </c:pt>
                <c:pt idx="27">
                  <c:v>10.5</c:v>
                </c:pt>
                <c:pt idx="28">
                  <c:v>10.5</c:v>
                </c:pt>
                <c:pt idx="29">
                  <c:v>10</c:v>
                </c:pt>
                <c:pt idx="30">
                  <c:v>9.3000000000000007</c:v>
                </c:pt>
                <c:pt idx="31">
                  <c:v>9.4</c:v>
                </c:pt>
                <c:pt idx="32">
                  <c:v>9.6999999999999993</c:v>
                </c:pt>
                <c:pt idx="33">
                  <c:v>8.4</c:v>
                </c:pt>
                <c:pt idx="34">
                  <c:v>7.8</c:v>
                </c:pt>
                <c:pt idx="35">
                  <c:v>7.5</c:v>
                </c:pt>
                <c:pt idx="36">
                  <c:v>7.1</c:v>
                </c:pt>
                <c:pt idx="37">
                  <c:v>6.3</c:v>
                </c:pt>
                <c:pt idx="38">
                  <c:v>6.1</c:v>
                </c:pt>
                <c:pt idx="39">
                  <c:v>6.3</c:v>
                </c:pt>
                <c:pt idx="40">
                  <c:v>6.7</c:v>
                </c:pt>
                <c:pt idx="41">
                  <c:v>6.1</c:v>
                </c:pt>
                <c:pt idx="42">
                  <c:v>6.3</c:v>
                </c:pt>
                <c:pt idx="43">
                  <c:v>6.1</c:v>
                </c:pt>
                <c:pt idx="44">
                  <c:v>7</c:v>
                </c:pt>
                <c:pt idx="45">
                  <c:v>6.7</c:v>
                </c:pt>
                <c:pt idx="46">
                  <c:v>6.8</c:v>
                </c:pt>
                <c:pt idx="47">
                  <c:v>6.8</c:v>
                </c:pt>
                <c:pt idx="48">
                  <c:v>7.8</c:v>
                </c:pt>
                <c:pt idx="49">
                  <c:v>7.8</c:v>
                </c:pt>
                <c:pt idx="50">
                  <c:v>7.5</c:v>
                </c:pt>
                <c:pt idx="51">
                  <c:v>7.8</c:v>
                </c:pt>
                <c:pt idx="52">
                  <c:v>7.8</c:v>
                </c:pt>
                <c:pt idx="53">
                  <c:v>7.3</c:v>
                </c:pt>
                <c:pt idx="54">
                  <c:v>6.8</c:v>
                </c:pt>
                <c:pt idx="55">
                  <c:v>6.2</c:v>
                </c:pt>
                <c:pt idx="56">
                  <c:v>6.8</c:v>
                </c:pt>
                <c:pt idx="57">
                  <c:v>6.3</c:v>
                </c:pt>
                <c:pt idx="58">
                  <c:v>5.9</c:v>
                </c:pt>
                <c:pt idx="59">
                  <c:v>5.6</c:v>
                </c:pt>
                <c:pt idx="60">
                  <c:v>5.8</c:v>
                </c:pt>
                <c:pt idx="61">
                  <c:v>5.4</c:v>
                </c:pt>
                <c:pt idx="62">
                  <c:v>5.2</c:v>
                </c:pt>
                <c:pt idx="63">
                  <c:v>5.4</c:v>
                </c:pt>
                <c:pt idx="64">
                  <c:v>5.7</c:v>
                </c:pt>
                <c:pt idx="65">
                  <c:v>5.2</c:v>
                </c:pt>
                <c:pt idx="66">
                  <c:v>5.4</c:v>
                </c:pt>
                <c:pt idx="67">
                  <c:v>4.9000000000000004</c:v>
                </c:pt>
                <c:pt idx="68">
                  <c:v>5.4</c:v>
                </c:pt>
                <c:pt idx="69">
                  <c:v>4.7</c:v>
                </c:pt>
                <c:pt idx="70">
                  <c:v>4.4000000000000004</c:v>
                </c:pt>
                <c:pt idx="71">
                  <c:v>4.5999999999999996</c:v>
                </c:pt>
                <c:pt idx="72">
                  <c:v>4.7</c:v>
                </c:pt>
                <c:pt idx="73">
                  <c:v>4.0999999999999996</c:v>
                </c:pt>
                <c:pt idx="74">
                  <c:v>3.7</c:v>
                </c:pt>
                <c:pt idx="75">
                  <c:v>3.6</c:v>
                </c:pt>
                <c:pt idx="76">
                  <c:v>4.3</c:v>
                </c:pt>
                <c:pt idx="77">
                  <c:v>3.7</c:v>
                </c:pt>
                <c:pt idx="78">
                  <c:v>3.7</c:v>
                </c:pt>
                <c:pt idx="79">
                  <c:v>3.6</c:v>
                </c:pt>
                <c:pt idx="80">
                  <c:v>4.5</c:v>
                </c:pt>
                <c:pt idx="81">
                  <c:v>3.6</c:v>
                </c:pt>
                <c:pt idx="82">
                  <c:v>3.7</c:v>
                </c:pt>
                <c:pt idx="83">
                  <c:v>3.6</c:v>
                </c:pt>
                <c:pt idx="84">
                  <c:v>4.2</c:v>
                </c:pt>
                <c:pt idx="85">
                  <c:v>3.5</c:v>
                </c:pt>
                <c:pt idx="86">
                  <c:v>3.4</c:v>
                </c:pt>
                <c:pt idx="87">
                  <c:v>3.2</c:v>
                </c:pt>
                <c:pt idx="88">
                  <c:v>4.2</c:v>
                </c:pt>
                <c:pt idx="89">
                  <c:v>3.7</c:v>
                </c:pt>
                <c:pt idx="90">
                  <c:v>3.9</c:v>
                </c:pt>
                <c:pt idx="91">
                  <c:v>4.3</c:v>
                </c:pt>
                <c:pt idx="92">
                  <c:v>5.4</c:v>
                </c:pt>
                <c:pt idx="93">
                  <c:v>5.6</c:v>
                </c:pt>
                <c:pt idx="94">
                  <c:v>6.1</c:v>
                </c:pt>
                <c:pt idx="95">
                  <c:v>6.4</c:v>
                </c:pt>
                <c:pt idx="96">
                  <c:v>6.4</c:v>
                </c:pt>
                <c:pt idx="97">
                  <c:v>6.4</c:v>
                </c:pt>
                <c:pt idx="98">
                  <c:v>6</c:v>
                </c:pt>
                <c:pt idx="99">
                  <c:v>6.1</c:v>
                </c:pt>
                <c:pt idx="100">
                  <c:v>6.4</c:v>
                </c:pt>
                <c:pt idx="101">
                  <c:v>5.9</c:v>
                </c:pt>
                <c:pt idx="102">
                  <c:v>5.9</c:v>
                </c:pt>
                <c:pt idx="103">
                  <c:v>5.9</c:v>
                </c:pt>
                <c:pt idx="104">
                  <c:v>6.7</c:v>
                </c:pt>
                <c:pt idx="105">
                  <c:v>6.2</c:v>
                </c:pt>
                <c:pt idx="106">
                  <c:v>6.7</c:v>
                </c:pt>
                <c:pt idx="107">
                  <c:v>6.3</c:v>
                </c:pt>
                <c:pt idx="108">
                  <c:v>6.1</c:v>
                </c:pt>
                <c:pt idx="109">
                  <c:v>5.9</c:v>
                </c:pt>
                <c:pt idx="110">
                  <c:v>5.8</c:v>
                </c:pt>
                <c:pt idx="111">
                  <c:v>5.6</c:v>
                </c:pt>
                <c:pt idx="112">
                  <c:v>5.9</c:v>
                </c:pt>
                <c:pt idx="113">
                  <c:v>5.0999999999999996</c:v>
                </c:pt>
                <c:pt idx="114">
                  <c:v>5.2</c:v>
                </c:pt>
                <c:pt idx="115">
                  <c:v>5.5</c:v>
                </c:pt>
                <c:pt idx="116">
                  <c:v>5.8</c:v>
                </c:pt>
                <c:pt idx="117">
                  <c:v>5.4</c:v>
                </c:pt>
                <c:pt idx="118">
                  <c:v>5.5</c:v>
                </c:pt>
                <c:pt idx="119">
                  <c:v>4.9000000000000004</c:v>
                </c:pt>
                <c:pt idx="120">
                  <c:v>5.5</c:v>
                </c:pt>
                <c:pt idx="121">
                  <c:v>4.9000000000000004</c:v>
                </c:pt>
                <c:pt idx="122">
                  <c:v>4.9000000000000004</c:v>
                </c:pt>
                <c:pt idx="123">
                  <c:v>5.2</c:v>
                </c:pt>
                <c:pt idx="124">
                  <c:v>5.2</c:v>
                </c:pt>
                <c:pt idx="125">
                  <c:v>4.7</c:v>
                </c:pt>
                <c:pt idx="126">
                  <c:v>4.5999999999999996</c:v>
                </c:pt>
                <c:pt idx="127">
                  <c:v>4.4000000000000004</c:v>
                </c:pt>
                <c:pt idx="128">
                  <c:v>4.5999999999999996</c:v>
                </c:pt>
                <c:pt idx="129">
                  <c:v>4.4000000000000004</c:v>
                </c:pt>
                <c:pt idx="130">
                  <c:v>3.9</c:v>
                </c:pt>
                <c:pt idx="131">
                  <c:v>4.4000000000000004</c:v>
                </c:pt>
                <c:pt idx="132">
                  <c:v>4.4000000000000004</c:v>
                </c:pt>
                <c:pt idx="133">
                  <c:v>3.9</c:v>
                </c:pt>
                <c:pt idx="134">
                  <c:v>4</c:v>
                </c:pt>
                <c:pt idx="135">
                  <c:v>4.0999999999999996</c:v>
                </c:pt>
                <c:pt idx="136">
                  <c:v>4.5</c:v>
                </c:pt>
                <c:pt idx="137">
                  <c:v>3.9</c:v>
                </c:pt>
                <c:pt idx="138">
                  <c:v>5.0999999999999996</c:v>
                </c:pt>
                <c:pt idx="139">
                  <c:v>4.9000000000000004</c:v>
                </c:pt>
                <c:pt idx="140">
                  <c:v>4.9000000000000004</c:v>
                </c:pt>
              </c:numCache>
            </c:numRef>
          </c:val>
          <c:smooth val="0"/>
          <c:extLst>
            <c:ext xmlns:c16="http://schemas.microsoft.com/office/drawing/2014/chart" uri="{C3380CC4-5D6E-409C-BE32-E72D297353CC}">
              <c16:uniqueId val="{00000004-09A5-4302-A6DE-91D75CB76DA4}"/>
            </c:ext>
          </c:extLst>
        </c:ser>
        <c:dLbls>
          <c:showLegendKey val="0"/>
          <c:showVal val="0"/>
          <c:showCatName val="0"/>
          <c:showSerName val="0"/>
          <c:showPercent val="0"/>
          <c:showBubbleSize val="0"/>
        </c:dLbls>
        <c:smooth val="0"/>
        <c:axId val="494088960"/>
        <c:axId val="494087320"/>
      </c:lineChart>
      <c:catAx>
        <c:axId val="49408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087320"/>
        <c:crosses val="autoZero"/>
        <c:auto val="1"/>
        <c:lblAlgn val="ctr"/>
        <c:lblOffset val="100"/>
        <c:noMultiLvlLbl val="0"/>
      </c:catAx>
      <c:valAx>
        <c:axId val="494087320"/>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08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b="1"/>
              <a:t>NEET Rate by Gender</a:t>
            </a:r>
            <a:r>
              <a:rPr lang="en-NZ" b="1" baseline="0"/>
              <a:t> - Seasonally Adjusted: 2008 - 2021</a:t>
            </a:r>
            <a:endParaRPr lang="en-N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Male</c:v>
          </c:tx>
          <c:spPr>
            <a:ln w="28575" cap="rnd">
              <a:solidFill>
                <a:schemeClr val="accent1"/>
              </a:solidFill>
              <a:round/>
            </a:ln>
            <a:effectLst/>
          </c:spPr>
          <c:marker>
            <c:symbol val="none"/>
          </c:marker>
          <c:cat>
            <c:strRef>
              <c:f>matrix!$A$6:$A$74</c:f>
              <c:strCache>
                <c:ptCount val="53"/>
                <c:pt idx="0">
                  <c:v>2008Q1</c:v>
                </c:pt>
                <c:pt idx="1">
                  <c:v>2008Q2</c:v>
                </c:pt>
                <c:pt idx="2">
                  <c:v>2008Q3</c:v>
                </c:pt>
                <c:pt idx="3">
                  <c:v>2008Q4</c:v>
                </c:pt>
                <c:pt idx="4">
                  <c:v>2009Q1</c:v>
                </c:pt>
                <c:pt idx="5">
                  <c:v>2009Q2</c:v>
                </c:pt>
                <c:pt idx="6">
                  <c:v>2009Q3</c:v>
                </c:pt>
                <c:pt idx="7">
                  <c:v>2009Q4</c:v>
                </c:pt>
                <c:pt idx="8">
                  <c:v>2010Q1</c:v>
                </c:pt>
                <c:pt idx="9">
                  <c:v>2010Q2</c:v>
                </c:pt>
                <c:pt idx="10">
                  <c:v>2010Q3</c:v>
                </c:pt>
                <c:pt idx="11">
                  <c:v>2010Q4</c:v>
                </c:pt>
                <c:pt idx="12">
                  <c:v>2011Q1</c:v>
                </c:pt>
                <c:pt idx="13">
                  <c:v>2011Q2</c:v>
                </c:pt>
                <c:pt idx="14">
                  <c:v>2011Q3</c:v>
                </c:pt>
                <c:pt idx="15">
                  <c:v>2011Q4</c:v>
                </c:pt>
                <c:pt idx="16">
                  <c:v>2012Q1</c:v>
                </c:pt>
                <c:pt idx="17">
                  <c:v>2012Q2</c:v>
                </c:pt>
                <c:pt idx="18">
                  <c:v>2012Q3</c:v>
                </c:pt>
                <c:pt idx="19">
                  <c:v>2012Q4</c:v>
                </c:pt>
                <c:pt idx="20">
                  <c:v>2013Q1</c:v>
                </c:pt>
                <c:pt idx="21">
                  <c:v>2013Q2</c:v>
                </c:pt>
                <c:pt idx="22">
                  <c:v>2013Q3</c:v>
                </c:pt>
                <c:pt idx="23">
                  <c:v>2013Q4</c:v>
                </c:pt>
                <c:pt idx="24">
                  <c:v>2014Q1</c:v>
                </c:pt>
                <c:pt idx="25">
                  <c:v>2014Q2</c:v>
                </c:pt>
                <c:pt idx="26">
                  <c:v>2014Q3</c:v>
                </c:pt>
                <c:pt idx="27">
                  <c:v>2014Q4</c:v>
                </c:pt>
                <c:pt idx="28">
                  <c:v>2015Q1</c:v>
                </c:pt>
                <c:pt idx="29">
                  <c:v>2015Q2</c:v>
                </c:pt>
                <c:pt idx="30">
                  <c:v>2015Q3</c:v>
                </c:pt>
                <c:pt idx="31">
                  <c:v>2015Q4</c:v>
                </c:pt>
                <c:pt idx="32">
                  <c:v>2016Q1</c:v>
                </c:pt>
                <c:pt idx="33">
                  <c:v>2016Q2</c:v>
                </c:pt>
                <c:pt idx="34">
                  <c:v>2016Q3</c:v>
                </c:pt>
                <c:pt idx="35">
                  <c:v>2016Q4</c:v>
                </c:pt>
                <c:pt idx="36">
                  <c:v>2017Q1</c:v>
                </c:pt>
                <c:pt idx="37">
                  <c:v>2017Q2</c:v>
                </c:pt>
                <c:pt idx="38">
                  <c:v>2017Q3</c:v>
                </c:pt>
                <c:pt idx="39">
                  <c:v>2017Q4</c:v>
                </c:pt>
                <c:pt idx="40">
                  <c:v>2018Q1</c:v>
                </c:pt>
                <c:pt idx="41">
                  <c:v>2018Q2</c:v>
                </c:pt>
                <c:pt idx="42">
                  <c:v>2018Q3</c:v>
                </c:pt>
                <c:pt idx="43">
                  <c:v>2018Q4</c:v>
                </c:pt>
                <c:pt idx="44">
                  <c:v>2019Q1</c:v>
                </c:pt>
                <c:pt idx="45">
                  <c:v>2019Q2</c:v>
                </c:pt>
                <c:pt idx="46">
                  <c:v>2019Q3</c:v>
                </c:pt>
                <c:pt idx="47">
                  <c:v>2019Q4</c:v>
                </c:pt>
                <c:pt idx="48">
                  <c:v>2020Q1</c:v>
                </c:pt>
                <c:pt idx="49">
                  <c:v>2020Q2</c:v>
                </c:pt>
                <c:pt idx="50">
                  <c:v>2020Q3</c:v>
                </c:pt>
                <c:pt idx="51">
                  <c:v>2020Q4</c:v>
                </c:pt>
                <c:pt idx="52">
                  <c:v>2021Q1</c:v>
                </c:pt>
              </c:strCache>
              <c:extLst/>
            </c:strRef>
          </c:cat>
          <c:val>
            <c:numRef>
              <c:f>matrix!$C$6:$C$74</c:f>
              <c:numCache>
                <c:formatCode>General</c:formatCode>
                <c:ptCount val="53"/>
                <c:pt idx="0">
                  <c:v>9.4</c:v>
                </c:pt>
                <c:pt idx="1">
                  <c:v>8.1999999999999993</c:v>
                </c:pt>
                <c:pt idx="2">
                  <c:v>8.1</c:v>
                </c:pt>
                <c:pt idx="3">
                  <c:v>8.4</c:v>
                </c:pt>
                <c:pt idx="4">
                  <c:v>10.4</c:v>
                </c:pt>
                <c:pt idx="5">
                  <c:v>10.7</c:v>
                </c:pt>
                <c:pt idx="6">
                  <c:v>12.6</c:v>
                </c:pt>
                <c:pt idx="7">
                  <c:v>12.7</c:v>
                </c:pt>
                <c:pt idx="8">
                  <c:v>12.1</c:v>
                </c:pt>
                <c:pt idx="9">
                  <c:v>11.6</c:v>
                </c:pt>
                <c:pt idx="10">
                  <c:v>10.3</c:v>
                </c:pt>
                <c:pt idx="11">
                  <c:v>10.6</c:v>
                </c:pt>
                <c:pt idx="12">
                  <c:v>13</c:v>
                </c:pt>
                <c:pt idx="13">
                  <c:v>11.6</c:v>
                </c:pt>
                <c:pt idx="14">
                  <c:v>11.2</c:v>
                </c:pt>
                <c:pt idx="15">
                  <c:v>11.5</c:v>
                </c:pt>
                <c:pt idx="16">
                  <c:v>12.8</c:v>
                </c:pt>
                <c:pt idx="17">
                  <c:v>11</c:v>
                </c:pt>
                <c:pt idx="18">
                  <c:v>11</c:v>
                </c:pt>
                <c:pt idx="19">
                  <c:v>10.7</c:v>
                </c:pt>
                <c:pt idx="20">
                  <c:v>10</c:v>
                </c:pt>
                <c:pt idx="21">
                  <c:v>8.9</c:v>
                </c:pt>
                <c:pt idx="22">
                  <c:v>8.9</c:v>
                </c:pt>
                <c:pt idx="23">
                  <c:v>9.3000000000000007</c:v>
                </c:pt>
                <c:pt idx="24">
                  <c:v>10</c:v>
                </c:pt>
                <c:pt idx="25">
                  <c:v>8.9</c:v>
                </c:pt>
                <c:pt idx="26">
                  <c:v>8.6999999999999993</c:v>
                </c:pt>
                <c:pt idx="27">
                  <c:v>10</c:v>
                </c:pt>
                <c:pt idx="28">
                  <c:v>9.1</c:v>
                </c:pt>
                <c:pt idx="29">
                  <c:v>9.9</c:v>
                </c:pt>
                <c:pt idx="30">
                  <c:v>10.4</c:v>
                </c:pt>
                <c:pt idx="31">
                  <c:v>9.3000000000000007</c:v>
                </c:pt>
                <c:pt idx="32">
                  <c:v>11.7</c:v>
                </c:pt>
                <c:pt idx="33">
                  <c:v>9.1999999999999993</c:v>
                </c:pt>
                <c:pt idx="34">
                  <c:v>10.5</c:v>
                </c:pt>
                <c:pt idx="35">
                  <c:v>12.7</c:v>
                </c:pt>
                <c:pt idx="36">
                  <c:v>11.6</c:v>
                </c:pt>
                <c:pt idx="37">
                  <c:v>10.6</c:v>
                </c:pt>
                <c:pt idx="38">
                  <c:v>9.8000000000000007</c:v>
                </c:pt>
                <c:pt idx="39">
                  <c:v>10.1</c:v>
                </c:pt>
                <c:pt idx="40">
                  <c:v>12</c:v>
                </c:pt>
                <c:pt idx="41">
                  <c:v>10.9</c:v>
                </c:pt>
                <c:pt idx="42">
                  <c:v>10.3</c:v>
                </c:pt>
                <c:pt idx="43">
                  <c:v>12.5</c:v>
                </c:pt>
                <c:pt idx="44">
                  <c:v>11.9</c:v>
                </c:pt>
                <c:pt idx="45">
                  <c:v>10.1</c:v>
                </c:pt>
                <c:pt idx="46">
                  <c:v>9.8000000000000007</c:v>
                </c:pt>
                <c:pt idx="47">
                  <c:v>11.6</c:v>
                </c:pt>
                <c:pt idx="48">
                  <c:v>13.5</c:v>
                </c:pt>
                <c:pt idx="49">
                  <c:v>11.5</c:v>
                </c:pt>
                <c:pt idx="50">
                  <c:v>11.4</c:v>
                </c:pt>
                <c:pt idx="51">
                  <c:v>11.8</c:v>
                </c:pt>
                <c:pt idx="52">
                  <c:v>12.5</c:v>
                </c:pt>
              </c:numCache>
              <c:extLst/>
            </c:numRef>
          </c:val>
          <c:smooth val="0"/>
          <c:extLst>
            <c:ext xmlns:c16="http://schemas.microsoft.com/office/drawing/2014/chart" uri="{C3380CC4-5D6E-409C-BE32-E72D297353CC}">
              <c16:uniqueId val="{00000000-54C9-458D-8EF8-3E2E1285F610}"/>
            </c:ext>
          </c:extLst>
        </c:ser>
        <c:ser>
          <c:idx val="1"/>
          <c:order val="1"/>
          <c:tx>
            <c:v>Female</c:v>
          </c:tx>
          <c:spPr>
            <a:ln w="28575" cap="rnd">
              <a:solidFill>
                <a:schemeClr val="accent2"/>
              </a:solidFill>
              <a:round/>
            </a:ln>
            <a:effectLst/>
          </c:spPr>
          <c:marker>
            <c:symbol val="none"/>
          </c:marker>
          <c:cat>
            <c:strRef>
              <c:f>matrix!$A$6:$A$74</c:f>
              <c:strCache>
                <c:ptCount val="53"/>
                <c:pt idx="0">
                  <c:v>2008Q1</c:v>
                </c:pt>
                <c:pt idx="1">
                  <c:v>2008Q2</c:v>
                </c:pt>
                <c:pt idx="2">
                  <c:v>2008Q3</c:v>
                </c:pt>
                <c:pt idx="3">
                  <c:v>2008Q4</c:v>
                </c:pt>
                <c:pt idx="4">
                  <c:v>2009Q1</c:v>
                </c:pt>
                <c:pt idx="5">
                  <c:v>2009Q2</c:v>
                </c:pt>
                <c:pt idx="6">
                  <c:v>2009Q3</c:v>
                </c:pt>
                <c:pt idx="7">
                  <c:v>2009Q4</c:v>
                </c:pt>
                <c:pt idx="8">
                  <c:v>2010Q1</c:v>
                </c:pt>
                <c:pt idx="9">
                  <c:v>2010Q2</c:v>
                </c:pt>
                <c:pt idx="10">
                  <c:v>2010Q3</c:v>
                </c:pt>
                <c:pt idx="11">
                  <c:v>2010Q4</c:v>
                </c:pt>
                <c:pt idx="12">
                  <c:v>2011Q1</c:v>
                </c:pt>
                <c:pt idx="13">
                  <c:v>2011Q2</c:v>
                </c:pt>
                <c:pt idx="14">
                  <c:v>2011Q3</c:v>
                </c:pt>
                <c:pt idx="15">
                  <c:v>2011Q4</c:v>
                </c:pt>
                <c:pt idx="16">
                  <c:v>2012Q1</c:v>
                </c:pt>
                <c:pt idx="17">
                  <c:v>2012Q2</c:v>
                </c:pt>
                <c:pt idx="18">
                  <c:v>2012Q3</c:v>
                </c:pt>
                <c:pt idx="19">
                  <c:v>2012Q4</c:v>
                </c:pt>
                <c:pt idx="20">
                  <c:v>2013Q1</c:v>
                </c:pt>
                <c:pt idx="21">
                  <c:v>2013Q2</c:v>
                </c:pt>
                <c:pt idx="22">
                  <c:v>2013Q3</c:v>
                </c:pt>
                <c:pt idx="23">
                  <c:v>2013Q4</c:v>
                </c:pt>
                <c:pt idx="24">
                  <c:v>2014Q1</c:v>
                </c:pt>
                <c:pt idx="25">
                  <c:v>2014Q2</c:v>
                </c:pt>
                <c:pt idx="26">
                  <c:v>2014Q3</c:v>
                </c:pt>
                <c:pt idx="27">
                  <c:v>2014Q4</c:v>
                </c:pt>
                <c:pt idx="28">
                  <c:v>2015Q1</c:v>
                </c:pt>
                <c:pt idx="29">
                  <c:v>2015Q2</c:v>
                </c:pt>
                <c:pt idx="30">
                  <c:v>2015Q3</c:v>
                </c:pt>
                <c:pt idx="31">
                  <c:v>2015Q4</c:v>
                </c:pt>
                <c:pt idx="32">
                  <c:v>2016Q1</c:v>
                </c:pt>
                <c:pt idx="33">
                  <c:v>2016Q2</c:v>
                </c:pt>
                <c:pt idx="34">
                  <c:v>2016Q3</c:v>
                </c:pt>
                <c:pt idx="35">
                  <c:v>2016Q4</c:v>
                </c:pt>
                <c:pt idx="36">
                  <c:v>2017Q1</c:v>
                </c:pt>
                <c:pt idx="37">
                  <c:v>2017Q2</c:v>
                </c:pt>
                <c:pt idx="38">
                  <c:v>2017Q3</c:v>
                </c:pt>
                <c:pt idx="39">
                  <c:v>2017Q4</c:v>
                </c:pt>
                <c:pt idx="40">
                  <c:v>2018Q1</c:v>
                </c:pt>
                <c:pt idx="41">
                  <c:v>2018Q2</c:v>
                </c:pt>
                <c:pt idx="42">
                  <c:v>2018Q3</c:v>
                </c:pt>
                <c:pt idx="43">
                  <c:v>2018Q4</c:v>
                </c:pt>
                <c:pt idx="44">
                  <c:v>2019Q1</c:v>
                </c:pt>
                <c:pt idx="45">
                  <c:v>2019Q2</c:v>
                </c:pt>
                <c:pt idx="46">
                  <c:v>2019Q3</c:v>
                </c:pt>
                <c:pt idx="47">
                  <c:v>2019Q4</c:v>
                </c:pt>
                <c:pt idx="48">
                  <c:v>2020Q1</c:v>
                </c:pt>
                <c:pt idx="49">
                  <c:v>2020Q2</c:v>
                </c:pt>
                <c:pt idx="50">
                  <c:v>2020Q3</c:v>
                </c:pt>
                <c:pt idx="51">
                  <c:v>2020Q4</c:v>
                </c:pt>
                <c:pt idx="52">
                  <c:v>2021Q1</c:v>
                </c:pt>
              </c:strCache>
              <c:extLst/>
            </c:strRef>
          </c:cat>
          <c:val>
            <c:numRef>
              <c:f>matrix!$E$6:$E$74</c:f>
              <c:numCache>
                <c:formatCode>General</c:formatCode>
                <c:ptCount val="53"/>
                <c:pt idx="0">
                  <c:v>15.2</c:v>
                </c:pt>
                <c:pt idx="1">
                  <c:v>13.4</c:v>
                </c:pt>
                <c:pt idx="2">
                  <c:v>13.6</c:v>
                </c:pt>
                <c:pt idx="3">
                  <c:v>13.7</c:v>
                </c:pt>
                <c:pt idx="4">
                  <c:v>15.9</c:v>
                </c:pt>
                <c:pt idx="5">
                  <c:v>17.100000000000001</c:v>
                </c:pt>
                <c:pt idx="6">
                  <c:v>16.2</c:v>
                </c:pt>
                <c:pt idx="7">
                  <c:v>18.3</c:v>
                </c:pt>
                <c:pt idx="8">
                  <c:v>16.8</c:v>
                </c:pt>
                <c:pt idx="9">
                  <c:v>15.5</c:v>
                </c:pt>
                <c:pt idx="10">
                  <c:v>16.2</c:v>
                </c:pt>
                <c:pt idx="11">
                  <c:v>16</c:v>
                </c:pt>
                <c:pt idx="12">
                  <c:v>16.7</c:v>
                </c:pt>
                <c:pt idx="13">
                  <c:v>14.7</c:v>
                </c:pt>
                <c:pt idx="14">
                  <c:v>14.2</c:v>
                </c:pt>
                <c:pt idx="15">
                  <c:v>14.8</c:v>
                </c:pt>
                <c:pt idx="16">
                  <c:v>15.7</c:v>
                </c:pt>
                <c:pt idx="17">
                  <c:v>15.6</c:v>
                </c:pt>
                <c:pt idx="18">
                  <c:v>15.7</c:v>
                </c:pt>
                <c:pt idx="19">
                  <c:v>17.8</c:v>
                </c:pt>
                <c:pt idx="20">
                  <c:v>16.5</c:v>
                </c:pt>
                <c:pt idx="21">
                  <c:v>16</c:v>
                </c:pt>
                <c:pt idx="22">
                  <c:v>14.2</c:v>
                </c:pt>
                <c:pt idx="23">
                  <c:v>14.2</c:v>
                </c:pt>
                <c:pt idx="24">
                  <c:v>14.8</c:v>
                </c:pt>
                <c:pt idx="25">
                  <c:v>14.1</c:v>
                </c:pt>
                <c:pt idx="26">
                  <c:v>14.2</c:v>
                </c:pt>
                <c:pt idx="27">
                  <c:v>13</c:v>
                </c:pt>
                <c:pt idx="28">
                  <c:v>15.1</c:v>
                </c:pt>
                <c:pt idx="29">
                  <c:v>14</c:v>
                </c:pt>
                <c:pt idx="30">
                  <c:v>12.4</c:v>
                </c:pt>
                <c:pt idx="31">
                  <c:v>12.6</c:v>
                </c:pt>
                <c:pt idx="32">
                  <c:v>13.6</c:v>
                </c:pt>
                <c:pt idx="33">
                  <c:v>13.2</c:v>
                </c:pt>
                <c:pt idx="34">
                  <c:v>12.7</c:v>
                </c:pt>
                <c:pt idx="35">
                  <c:v>14.3</c:v>
                </c:pt>
                <c:pt idx="36">
                  <c:v>14.1</c:v>
                </c:pt>
                <c:pt idx="37">
                  <c:v>12.8</c:v>
                </c:pt>
                <c:pt idx="38">
                  <c:v>13.5</c:v>
                </c:pt>
                <c:pt idx="39">
                  <c:v>13.2</c:v>
                </c:pt>
                <c:pt idx="40">
                  <c:v>12.9</c:v>
                </c:pt>
                <c:pt idx="41">
                  <c:v>11.7</c:v>
                </c:pt>
                <c:pt idx="42">
                  <c:v>10.5</c:v>
                </c:pt>
                <c:pt idx="43">
                  <c:v>15.9</c:v>
                </c:pt>
                <c:pt idx="44">
                  <c:v>14.4</c:v>
                </c:pt>
                <c:pt idx="45">
                  <c:v>11.2</c:v>
                </c:pt>
                <c:pt idx="46">
                  <c:v>12</c:v>
                </c:pt>
                <c:pt idx="47">
                  <c:v>12.2</c:v>
                </c:pt>
                <c:pt idx="48">
                  <c:v>14.7</c:v>
                </c:pt>
                <c:pt idx="49">
                  <c:v>13.9</c:v>
                </c:pt>
                <c:pt idx="50">
                  <c:v>13.7</c:v>
                </c:pt>
                <c:pt idx="51">
                  <c:v>13.1</c:v>
                </c:pt>
                <c:pt idx="52">
                  <c:v>13.8</c:v>
                </c:pt>
              </c:numCache>
              <c:extLst/>
            </c:numRef>
          </c:val>
          <c:smooth val="0"/>
          <c:extLst>
            <c:ext xmlns:c16="http://schemas.microsoft.com/office/drawing/2014/chart" uri="{C3380CC4-5D6E-409C-BE32-E72D297353CC}">
              <c16:uniqueId val="{00000001-54C9-458D-8EF8-3E2E1285F610}"/>
            </c:ext>
          </c:extLst>
        </c:ser>
        <c:ser>
          <c:idx val="2"/>
          <c:order val="2"/>
          <c:tx>
            <c:v>Total</c:v>
          </c:tx>
          <c:spPr>
            <a:ln w="28575" cap="rnd">
              <a:solidFill>
                <a:schemeClr val="accent3"/>
              </a:solidFill>
              <a:round/>
            </a:ln>
            <a:effectLst/>
          </c:spPr>
          <c:marker>
            <c:symbol val="none"/>
          </c:marker>
          <c:cat>
            <c:strLit>
              <c:ptCount val="53"/>
              <c:pt idx="0">
                <c:v>2008Q1</c:v>
              </c:pt>
              <c:pt idx="1">
                <c:v>2008Q2</c:v>
              </c:pt>
              <c:pt idx="2">
                <c:v>2008Q3</c:v>
              </c:pt>
              <c:pt idx="3">
                <c:v>2008Q4</c:v>
              </c:pt>
              <c:pt idx="4">
                <c:v>2009Q1</c:v>
              </c:pt>
              <c:pt idx="5">
                <c:v>2009Q2</c:v>
              </c:pt>
              <c:pt idx="6">
                <c:v>2009Q3</c:v>
              </c:pt>
              <c:pt idx="7">
                <c:v>2009Q4</c:v>
              </c:pt>
              <c:pt idx="8">
                <c:v>2010Q1</c:v>
              </c:pt>
              <c:pt idx="9">
                <c:v>2010Q2</c:v>
              </c:pt>
              <c:pt idx="10">
                <c:v>2010Q3</c:v>
              </c:pt>
              <c:pt idx="11">
                <c:v>2010Q4</c:v>
              </c:pt>
              <c:pt idx="12">
                <c:v>2011Q1</c:v>
              </c:pt>
              <c:pt idx="13">
                <c:v>2011Q2</c:v>
              </c:pt>
              <c:pt idx="14">
                <c:v>2011Q3</c:v>
              </c:pt>
              <c:pt idx="15">
                <c:v>2011Q4</c:v>
              </c:pt>
              <c:pt idx="16">
                <c:v>2012Q1</c:v>
              </c:pt>
              <c:pt idx="17">
                <c:v>2012Q2</c:v>
              </c:pt>
              <c:pt idx="18">
                <c:v>2012Q3</c:v>
              </c:pt>
              <c:pt idx="19">
                <c:v>2012Q4</c:v>
              </c:pt>
              <c:pt idx="20">
                <c:v>2013Q1</c:v>
              </c:pt>
              <c:pt idx="21">
                <c:v>2013Q2</c:v>
              </c:pt>
              <c:pt idx="22">
                <c:v>2013Q3</c:v>
              </c:pt>
              <c:pt idx="23">
                <c:v>2013Q4</c:v>
              </c:pt>
              <c:pt idx="24">
                <c:v>2014Q1</c:v>
              </c:pt>
              <c:pt idx="25">
                <c:v>2014Q2</c:v>
              </c:pt>
              <c:pt idx="26">
                <c:v>2014Q3</c:v>
              </c:pt>
              <c:pt idx="27">
                <c:v>2014Q4</c:v>
              </c:pt>
              <c:pt idx="28">
                <c:v>2015Q1</c:v>
              </c:pt>
              <c:pt idx="29">
                <c:v>2015Q2</c:v>
              </c:pt>
              <c:pt idx="30">
                <c:v>2015Q3</c:v>
              </c:pt>
              <c:pt idx="31">
                <c:v>2015Q4</c:v>
              </c:pt>
              <c:pt idx="32">
                <c:v>2016Q1</c:v>
              </c:pt>
              <c:pt idx="33">
                <c:v>2016Q2</c:v>
              </c:pt>
              <c:pt idx="34">
                <c:v>2016Q3</c:v>
              </c:pt>
              <c:pt idx="35">
                <c:v>2016Q4</c:v>
              </c:pt>
              <c:pt idx="36">
                <c:v>2017Q1</c:v>
              </c:pt>
              <c:pt idx="37">
                <c:v>2017Q2</c:v>
              </c:pt>
              <c:pt idx="38">
                <c:v>2017Q3</c:v>
              </c:pt>
              <c:pt idx="39">
                <c:v>2017Q4</c:v>
              </c:pt>
              <c:pt idx="40">
                <c:v>2018Q1</c:v>
              </c:pt>
              <c:pt idx="41">
                <c:v>2018Q2</c:v>
              </c:pt>
              <c:pt idx="42">
                <c:v>2018Q3</c:v>
              </c:pt>
              <c:pt idx="43">
                <c:v>2018Q4</c:v>
              </c:pt>
              <c:pt idx="44">
                <c:v>2019Q1</c:v>
              </c:pt>
              <c:pt idx="45">
                <c:v>2019Q2</c:v>
              </c:pt>
              <c:pt idx="46">
                <c:v>2019Q3</c:v>
              </c:pt>
              <c:pt idx="47">
                <c:v>2019Q4</c:v>
              </c:pt>
              <c:pt idx="48">
                <c:v>2020Q1</c:v>
              </c:pt>
              <c:pt idx="49">
                <c:v>2020Q2</c:v>
              </c:pt>
              <c:pt idx="50">
                <c:v>2020Q3</c:v>
              </c:pt>
              <c:pt idx="51">
                <c:v>2020Q4</c:v>
              </c:pt>
              <c:pt idx="52">
                <c:v>2021Q1</c:v>
              </c:pt>
              <c:extLst>
                <c:ext xmlns:c15="http://schemas.microsoft.com/office/drawing/2012/chart" uri="{02D57815-91ED-43cb-92C2-25804820EDAC}">
                  <c15:autoCat val="1"/>
                </c:ext>
              </c:extLst>
            </c:strLit>
          </c:cat>
          <c:val>
            <c:numRef>
              <c:f>matrix!$G$6:$G$74</c:f>
              <c:numCache>
                <c:formatCode>General</c:formatCode>
                <c:ptCount val="53"/>
                <c:pt idx="0">
                  <c:v>12.3</c:v>
                </c:pt>
                <c:pt idx="1">
                  <c:v>10.8</c:v>
                </c:pt>
                <c:pt idx="2">
                  <c:v>10.9</c:v>
                </c:pt>
                <c:pt idx="3">
                  <c:v>11</c:v>
                </c:pt>
                <c:pt idx="4">
                  <c:v>13.1</c:v>
                </c:pt>
                <c:pt idx="5">
                  <c:v>13.9</c:v>
                </c:pt>
                <c:pt idx="6">
                  <c:v>14.4</c:v>
                </c:pt>
                <c:pt idx="7">
                  <c:v>15.5</c:v>
                </c:pt>
                <c:pt idx="8">
                  <c:v>14.4</c:v>
                </c:pt>
                <c:pt idx="9">
                  <c:v>13.6</c:v>
                </c:pt>
                <c:pt idx="10">
                  <c:v>13.2</c:v>
                </c:pt>
                <c:pt idx="11">
                  <c:v>13.3</c:v>
                </c:pt>
                <c:pt idx="12">
                  <c:v>14.9</c:v>
                </c:pt>
                <c:pt idx="13">
                  <c:v>13.1</c:v>
                </c:pt>
                <c:pt idx="14">
                  <c:v>12.7</c:v>
                </c:pt>
                <c:pt idx="15">
                  <c:v>13.1</c:v>
                </c:pt>
                <c:pt idx="16">
                  <c:v>14.2</c:v>
                </c:pt>
                <c:pt idx="17">
                  <c:v>13.3</c:v>
                </c:pt>
                <c:pt idx="18">
                  <c:v>13.4</c:v>
                </c:pt>
                <c:pt idx="19">
                  <c:v>14.2</c:v>
                </c:pt>
                <c:pt idx="20">
                  <c:v>13.2</c:v>
                </c:pt>
                <c:pt idx="21">
                  <c:v>12.4</c:v>
                </c:pt>
                <c:pt idx="22">
                  <c:v>11.5</c:v>
                </c:pt>
                <c:pt idx="23">
                  <c:v>11.7</c:v>
                </c:pt>
                <c:pt idx="24">
                  <c:v>12.3</c:v>
                </c:pt>
                <c:pt idx="25">
                  <c:v>11.4</c:v>
                </c:pt>
                <c:pt idx="26">
                  <c:v>11.4</c:v>
                </c:pt>
                <c:pt idx="27">
                  <c:v>11.4</c:v>
                </c:pt>
                <c:pt idx="28">
                  <c:v>12</c:v>
                </c:pt>
                <c:pt idx="29">
                  <c:v>11.9</c:v>
                </c:pt>
                <c:pt idx="30">
                  <c:v>11.4</c:v>
                </c:pt>
                <c:pt idx="31">
                  <c:v>10.9</c:v>
                </c:pt>
                <c:pt idx="32">
                  <c:v>12.6</c:v>
                </c:pt>
                <c:pt idx="33">
                  <c:v>11.1</c:v>
                </c:pt>
                <c:pt idx="34">
                  <c:v>11.6</c:v>
                </c:pt>
                <c:pt idx="35">
                  <c:v>13.5</c:v>
                </c:pt>
                <c:pt idx="36">
                  <c:v>12.8</c:v>
                </c:pt>
                <c:pt idx="37">
                  <c:v>11.7</c:v>
                </c:pt>
                <c:pt idx="38">
                  <c:v>11.6</c:v>
                </c:pt>
                <c:pt idx="39">
                  <c:v>11.6</c:v>
                </c:pt>
                <c:pt idx="40">
                  <c:v>12.4</c:v>
                </c:pt>
                <c:pt idx="41">
                  <c:v>11.3</c:v>
                </c:pt>
                <c:pt idx="42">
                  <c:v>10.4</c:v>
                </c:pt>
                <c:pt idx="43">
                  <c:v>14.1</c:v>
                </c:pt>
                <c:pt idx="44">
                  <c:v>13.1</c:v>
                </c:pt>
                <c:pt idx="45">
                  <c:v>10.6</c:v>
                </c:pt>
                <c:pt idx="46">
                  <c:v>10.8</c:v>
                </c:pt>
                <c:pt idx="47">
                  <c:v>11.9</c:v>
                </c:pt>
                <c:pt idx="48">
                  <c:v>14.1</c:v>
                </c:pt>
                <c:pt idx="49">
                  <c:v>12.6</c:v>
                </c:pt>
                <c:pt idx="50">
                  <c:v>12.5</c:v>
                </c:pt>
                <c:pt idx="51">
                  <c:v>12.4</c:v>
                </c:pt>
                <c:pt idx="52">
                  <c:v>13.1</c:v>
                </c:pt>
              </c:numCache>
              <c:extLst/>
            </c:numRef>
          </c:val>
          <c:smooth val="0"/>
          <c:extLst>
            <c:ext xmlns:c16="http://schemas.microsoft.com/office/drawing/2014/chart" uri="{C3380CC4-5D6E-409C-BE32-E72D297353CC}">
              <c16:uniqueId val="{00000002-54C9-458D-8EF8-3E2E1285F610}"/>
            </c:ext>
          </c:extLst>
        </c:ser>
        <c:dLbls>
          <c:showLegendKey val="0"/>
          <c:showVal val="0"/>
          <c:showCatName val="0"/>
          <c:showSerName val="0"/>
          <c:showPercent val="0"/>
          <c:showBubbleSize val="0"/>
        </c:dLbls>
        <c:smooth val="0"/>
        <c:axId val="1386566232"/>
        <c:axId val="1386559016"/>
      </c:lineChart>
      <c:catAx>
        <c:axId val="138656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6559016"/>
        <c:crosses val="autoZero"/>
        <c:auto val="1"/>
        <c:lblAlgn val="ctr"/>
        <c:lblOffset val="100"/>
        <c:noMultiLvlLbl val="0"/>
      </c:catAx>
      <c:valAx>
        <c:axId val="1386559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Per 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6566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Underutilisation by age group</a:t>
            </a:r>
            <a:r>
              <a:rPr lang="en-NZ" baseline="0"/>
              <a:t> - March 2021 quarter</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'[household-labour-force-survey-march-2021-quarter-supplementary-tables (1).xlsx]Table 2'!$A$36</c:f>
              <c:strCache>
                <c:ptCount val="1"/>
                <c:pt idx="0">
                  <c:v>15–24</c:v>
                </c:pt>
              </c:strCache>
            </c:strRef>
          </c:tx>
          <c:spPr>
            <a:solidFill>
              <a:schemeClr val="accent1"/>
            </a:solidFill>
            <a:ln>
              <a:noFill/>
            </a:ln>
            <a:effectLst/>
          </c:spPr>
          <c:invertIfNegative val="0"/>
          <c:cat>
            <c:strRef>
              <c:f>'[household-labour-force-survey-march-2021-quarter-supplementary-tables (1).xlsx]Table 2'!$B$6:$B$7,'[household-labour-force-survey-march-2021-quarter-supplementary-tables (1).xlsx]Table 2'!$C$6:$C$7,'[household-labour-force-survey-march-2021-quarter-supplementary-tables (1).xlsx]Table 2'!$D$7,'[household-labour-force-survey-march-2021-quarter-supplementary-tables (1).xlsx]Table 2'!$E$7</c:f>
              <c:strCache>
                <c:ptCount val="4"/>
                <c:pt idx="0">
                  <c:v>Unemployed 
</c:v>
                </c:pt>
                <c:pt idx="1">
                  <c:v>Underemployed </c:v>
                </c:pt>
                <c:pt idx="2">
                  <c:v>Available potential jobseekers</c:v>
                </c:pt>
                <c:pt idx="3">
                  <c:v>Unavailable job seekers</c:v>
                </c:pt>
              </c:strCache>
              <c:extLst/>
            </c:strRef>
          </c:cat>
          <c:val>
            <c:numRef>
              <c:f>'[household-labour-force-survey-march-2021-quarter-supplementary-tables (1).xlsx]Table 2'!$B$36:$I$36</c:f>
              <c:numCache>
                <c:formatCode>0.0</c:formatCode>
                <c:ptCount val="4"/>
                <c:pt idx="0">
                  <c:v>55.7</c:v>
                </c:pt>
                <c:pt idx="1">
                  <c:v>38</c:v>
                </c:pt>
                <c:pt idx="2">
                  <c:v>36.200000000000003</c:v>
                </c:pt>
                <c:pt idx="3">
                  <c:v>8.3000000000000007</c:v>
                </c:pt>
              </c:numCache>
              <c:extLst/>
            </c:numRef>
          </c:val>
          <c:extLst>
            <c:ext xmlns:c16="http://schemas.microsoft.com/office/drawing/2014/chart" uri="{C3380CC4-5D6E-409C-BE32-E72D297353CC}">
              <c16:uniqueId val="{00000000-3DC8-42E5-9780-A31058C48724}"/>
            </c:ext>
          </c:extLst>
        </c:ser>
        <c:ser>
          <c:idx val="1"/>
          <c:order val="1"/>
          <c:tx>
            <c:strRef>
              <c:f>'[household-labour-force-survey-march-2021-quarter-supplementary-tables (1).xlsx]Table 2'!$A$37</c:f>
              <c:strCache>
                <c:ptCount val="1"/>
                <c:pt idx="0">
                  <c:v>25–34</c:v>
                </c:pt>
              </c:strCache>
            </c:strRef>
          </c:tx>
          <c:spPr>
            <a:solidFill>
              <a:schemeClr val="accent2"/>
            </a:solidFill>
            <a:ln>
              <a:noFill/>
            </a:ln>
            <a:effectLst/>
          </c:spPr>
          <c:invertIfNegative val="0"/>
          <c:cat>
            <c:strRef>
              <c:f>'[household-labour-force-survey-march-2021-quarter-supplementary-tables (1).xlsx]Table 2'!$B$6:$B$7,'[household-labour-force-survey-march-2021-quarter-supplementary-tables (1).xlsx]Table 2'!$C$6:$C$7,'[household-labour-force-survey-march-2021-quarter-supplementary-tables (1).xlsx]Table 2'!$D$7,'[household-labour-force-survey-march-2021-quarter-supplementary-tables (1).xlsx]Table 2'!$E$7</c:f>
              <c:strCache>
                <c:ptCount val="4"/>
                <c:pt idx="0">
                  <c:v>Unemployed 
</c:v>
                </c:pt>
                <c:pt idx="1">
                  <c:v>Underemployed </c:v>
                </c:pt>
                <c:pt idx="2">
                  <c:v>Available potential jobseekers</c:v>
                </c:pt>
                <c:pt idx="3">
                  <c:v>Unavailable job seekers</c:v>
                </c:pt>
              </c:strCache>
              <c:extLst/>
            </c:strRef>
          </c:cat>
          <c:val>
            <c:numRef>
              <c:f>'[household-labour-force-survey-march-2021-quarter-supplementary-tables (1).xlsx]Table 2'!$B$37:$I$37</c:f>
              <c:numCache>
                <c:formatCode>0.0</c:formatCode>
                <c:ptCount val="4"/>
                <c:pt idx="0">
                  <c:v>31.6</c:v>
                </c:pt>
                <c:pt idx="1">
                  <c:v>21.7</c:v>
                </c:pt>
                <c:pt idx="2">
                  <c:v>11.9</c:v>
                </c:pt>
                <c:pt idx="3">
                  <c:v>5</c:v>
                </c:pt>
              </c:numCache>
              <c:extLst/>
            </c:numRef>
          </c:val>
          <c:extLst>
            <c:ext xmlns:c16="http://schemas.microsoft.com/office/drawing/2014/chart" uri="{C3380CC4-5D6E-409C-BE32-E72D297353CC}">
              <c16:uniqueId val="{00000001-3DC8-42E5-9780-A31058C48724}"/>
            </c:ext>
          </c:extLst>
        </c:ser>
        <c:ser>
          <c:idx val="2"/>
          <c:order val="2"/>
          <c:tx>
            <c:strRef>
              <c:f>'[household-labour-force-survey-march-2021-quarter-supplementary-tables (1).xlsx]Table 2'!$A$38</c:f>
              <c:strCache>
                <c:ptCount val="1"/>
                <c:pt idx="0">
                  <c:v>35–44</c:v>
                </c:pt>
              </c:strCache>
            </c:strRef>
          </c:tx>
          <c:spPr>
            <a:solidFill>
              <a:schemeClr val="accent3"/>
            </a:solidFill>
            <a:ln>
              <a:noFill/>
            </a:ln>
            <a:effectLst/>
          </c:spPr>
          <c:invertIfNegative val="0"/>
          <c:cat>
            <c:strRef>
              <c:f>'[household-labour-force-survey-march-2021-quarter-supplementary-tables (1).xlsx]Table 2'!$B$6:$B$7,'[household-labour-force-survey-march-2021-quarter-supplementary-tables (1).xlsx]Table 2'!$C$6:$C$7,'[household-labour-force-survey-march-2021-quarter-supplementary-tables (1).xlsx]Table 2'!$D$7,'[household-labour-force-survey-march-2021-quarter-supplementary-tables (1).xlsx]Table 2'!$E$7</c:f>
              <c:strCache>
                <c:ptCount val="4"/>
                <c:pt idx="0">
                  <c:v>Unemployed 
</c:v>
                </c:pt>
                <c:pt idx="1">
                  <c:v>Underemployed </c:v>
                </c:pt>
                <c:pt idx="2">
                  <c:v>Available potential jobseekers</c:v>
                </c:pt>
                <c:pt idx="3">
                  <c:v>Unavailable job seekers</c:v>
                </c:pt>
              </c:strCache>
              <c:extLst/>
            </c:strRef>
          </c:cat>
          <c:val>
            <c:numRef>
              <c:f>'[household-labour-force-survey-march-2021-quarter-supplementary-tables (1).xlsx]Table 2'!$B$38:$I$38</c:f>
              <c:numCache>
                <c:formatCode>0.0</c:formatCode>
                <c:ptCount val="4"/>
                <c:pt idx="0">
                  <c:v>19.7</c:v>
                </c:pt>
                <c:pt idx="1">
                  <c:v>20.3</c:v>
                </c:pt>
                <c:pt idx="2">
                  <c:v>9.6</c:v>
                </c:pt>
                <c:pt idx="3">
                  <c:v>2.5</c:v>
                </c:pt>
              </c:numCache>
              <c:extLst/>
            </c:numRef>
          </c:val>
          <c:extLst>
            <c:ext xmlns:c16="http://schemas.microsoft.com/office/drawing/2014/chart" uri="{C3380CC4-5D6E-409C-BE32-E72D297353CC}">
              <c16:uniqueId val="{00000002-3DC8-42E5-9780-A31058C48724}"/>
            </c:ext>
          </c:extLst>
        </c:ser>
        <c:ser>
          <c:idx val="3"/>
          <c:order val="3"/>
          <c:tx>
            <c:strRef>
              <c:f>'[household-labour-force-survey-march-2021-quarter-supplementary-tables (1).xlsx]Table 2'!$A$39</c:f>
              <c:strCache>
                <c:ptCount val="1"/>
                <c:pt idx="0">
                  <c:v>45–54</c:v>
                </c:pt>
              </c:strCache>
            </c:strRef>
          </c:tx>
          <c:spPr>
            <a:solidFill>
              <a:schemeClr val="accent4"/>
            </a:solidFill>
            <a:ln>
              <a:noFill/>
            </a:ln>
            <a:effectLst/>
          </c:spPr>
          <c:invertIfNegative val="0"/>
          <c:cat>
            <c:strRef>
              <c:f>'[household-labour-force-survey-march-2021-quarter-supplementary-tables (1).xlsx]Table 2'!$B$6:$B$7,'[household-labour-force-survey-march-2021-quarter-supplementary-tables (1).xlsx]Table 2'!$C$6:$C$7,'[household-labour-force-survey-march-2021-quarter-supplementary-tables (1).xlsx]Table 2'!$D$7,'[household-labour-force-survey-march-2021-quarter-supplementary-tables (1).xlsx]Table 2'!$E$7</c:f>
              <c:strCache>
                <c:ptCount val="4"/>
                <c:pt idx="0">
                  <c:v>Unemployed 
</c:v>
                </c:pt>
                <c:pt idx="1">
                  <c:v>Underemployed </c:v>
                </c:pt>
                <c:pt idx="2">
                  <c:v>Available potential jobseekers</c:v>
                </c:pt>
                <c:pt idx="3">
                  <c:v>Unavailable job seekers</c:v>
                </c:pt>
              </c:strCache>
              <c:extLst/>
            </c:strRef>
          </c:cat>
          <c:val>
            <c:numRef>
              <c:f>'[household-labour-force-survey-march-2021-quarter-supplementary-tables (1).xlsx]Table 2'!$B$39:$I$39</c:f>
              <c:numCache>
                <c:formatCode>0.0</c:formatCode>
                <c:ptCount val="4"/>
                <c:pt idx="0">
                  <c:v>17.7</c:v>
                </c:pt>
                <c:pt idx="1">
                  <c:v>22.8</c:v>
                </c:pt>
                <c:pt idx="2">
                  <c:v>11.6</c:v>
                </c:pt>
                <c:pt idx="3">
                  <c:v>1.8</c:v>
                </c:pt>
              </c:numCache>
              <c:extLst/>
            </c:numRef>
          </c:val>
          <c:extLst>
            <c:ext xmlns:c16="http://schemas.microsoft.com/office/drawing/2014/chart" uri="{C3380CC4-5D6E-409C-BE32-E72D297353CC}">
              <c16:uniqueId val="{00000003-3DC8-42E5-9780-A31058C48724}"/>
            </c:ext>
          </c:extLst>
        </c:ser>
        <c:ser>
          <c:idx val="4"/>
          <c:order val="4"/>
          <c:tx>
            <c:strRef>
              <c:f>'[household-labour-force-survey-march-2021-quarter-supplementary-tables (1).xlsx]Table 2'!$A$40</c:f>
              <c:strCache>
                <c:ptCount val="1"/>
                <c:pt idx="0">
                  <c:v>55–64</c:v>
                </c:pt>
              </c:strCache>
            </c:strRef>
          </c:tx>
          <c:spPr>
            <a:solidFill>
              <a:schemeClr val="accent5"/>
            </a:solidFill>
            <a:ln>
              <a:noFill/>
            </a:ln>
            <a:effectLst/>
          </c:spPr>
          <c:invertIfNegative val="0"/>
          <c:cat>
            <c:strRef>
              <c:f>'[household-labour-force-survey-march-2021-quarter-supplementary-tables (1).xlsx]Table 2'!$B$6:$B$7,'[household-labour-force-survey-march-2021-quarter-supplementary-tables (1).xlsx]Table 2'!$C$6:$C$7,'[household-labour-force-survey-march-2021-quarter-supplementary-tables (1).xlsx]Table 2'!$D$7,'[household-labour-force-survey-march-2021-quarter-supplementary-tables (1).xlsx]Table 2'!$E$7</c:f>
              <c:strCache>
                <c:ptCount val="4"/>
                <c:pt idx="0">
                  <c:v>Unemployed 
</c:v>
                </c:pt>
                <c:pt idx="1">
                  <c:v>Underemployed </c:v>
                </c:pt>
                <c:pt idx="2">
                  <c:v>Available potential jobseekers</c:v>
                </c:pt>
                <c:pt idx="3">
                  <c:v>Unavailable job seekers</c:v>
                </c:pt>
              </c:strCache>
              <c:extLst/>
            </c:strRef>
          </c:cat>
          <c:val>
            <c:numRef>
              <c:f>'[household-labour-force-survey-march-2021-quarter-supplementary-tables (1).xlsx]Table 2'!$B$40:$I$40</c:f>
              <c:numCache>
                <c:formatCode>0.0</c:formatCode>
                <c:ptCount val="4"/>
                <c:pt idx="0">
                  <c:v>14.2</c:v>
                </c:pt>
                <c:pt idx="1">
                  <c:v>14.5</c:v>
                </c:pt>
                <c:pt idx="2">
                  <c:v>10.9</c:v>
                </c:pt>
                <c:pt idx="3">
                  <c:v>1.8</c:v>
                </c:pt>
              </c:numCache>
              <c:extLst/>
            </c:numRef>
          </c:val>
          <c:extLst>
            <c:ext xmlns:c16="http://schemas.microsoft.com/office/drawing/2014/chart" uri="{C3380CC4-5D6E-409C-BE32-E72D297353CC}">
              <c16:uniqueId val="{00000004-3DC8-42E5-9780-A31058C48724}"/>
            </c:ext>
          </c:extLst>
        </c:ser>
        <c:ser>
          <c:idx val="5"/>
          <c:order val="5"/>
          <c:tx>
            <c:strRef>
              <c:f>'[household-labour-force-survey-march-2021-quarter-supplementary-tables (1).xlsx]Table 2'!$A$41</c:f>
              <c:strCache>
                <c:ptCount val="1"/>
                <c:pt idx="0">
                  <c:v>65+</c:v>
                </c:pt>
              </c:strCache>
            </c:strRef>
          </c:tx>
          <c:spPr>
            <a:solidFill>
              <a:schemeClr val="accent6"/>
            </a:solidFill>
            <a:ln>
              <a:noFill/>
            </a:ln>
            <a:effectLst/>
          </c:spPr>
          <c:invertIfNegative val="0"/>
          <c:cat>
            <c:strRef>
              <c:f>'[household-labour-force-survey-march-2021-quarter-supplementary-tables (1).xlsx]Table 2'!$B$6:$B$7,'[household-labour-force-survey-march-2021-quarter-supplementary-tables (1).xlsx]Table 2'!$C$6:$C$7,'[household-labour-force-survey-march-2021-quarter-supplementary-tables (1).xlsx]Table 2'!$D$7,'[household-labour-force-survey-march-2021-quarter-supplementary-tables (1).xlsx]Table 2'!$E$7</c:f>
              <c:strCache>
                <c:ptCount val="4"/>
                <c:pt idx="0">
                  <c:v>Unemployed 
</c:v>
                </c:pt>
                <c:pt idx="1">
                  <c:v>Underemployed </c:v>
                </c:pt>
                <c:pt idx="2">
                  <c:v>Available potential jobseekers</c:v>
                </c:pt>
                <c:pt idx="3">
                  <c:v>Unavailable job seekers</c:v>
                </c:pt>
              </c:strCache>
              <c:extLst/>
            </c:strRef>
          </c:cat>
          <c:val>
            <c:numRef>
              <c:f>'[household-labour-force-survey-march-2021-quarter-supplementary-tables (1).xlsx]Table 2'!$B$41:$I$41</c:f>
              <c:numCache>
                <c:formatCode>0.0</c:formatCode>
                <c:ptCount val="4"/>
                <c:pt idx="0">
                  <c:v>3.2</c:v>
                </c:pt>
                <c:pt idx="1">
                  <c:v>6.5</c:v>
                </c:pt>
                <c:pt idx="2">
                  <c:v>5.5</c:v>
                </c:pt>
                <c:pt idx="3">
                  <c:v>1.2</c:v>
                </c:pt>
              </c:numCache>
              <c:extLst/>
            </c:numRef>
          </c:val>
          <c:extLst>
            <c:ext xmlns:c16="http://schemas.microsoft.com/office/drawing/2014/chart" uri="{C3380CC4-5D6E-409C-BE32-E72D297353CC}">
              <c16:uniqueId val="{00000005-3DC8-42E5-9780-A31058C48724}"/>
            </c:ext>
          </c:extLst>
        </c:ser>
        <c:dLbls>
          <c:showLegendKey val="0"/>
          <c:showVal val="0"/>
          <c:showCatName val="0"/>
          <c:showSerName val="0"/>
          <c:showPercent val="0"/>
          <c:showBubbleSize val="0"/>
        </c:dLbls>
        <c:gapWidth val="219"/>
        <c:overlap val="-27"/>
        <c:axId val="967036944"/>
        <c:axId val="967027760"/>
      </c:barChart>
      <c:catAx>
        <c:axId val="96703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7027760"/>
        <c:crosses val="autoZero"/>
        <c:auto val="1"/>
        <c:lblAlgn val="ctr"/>
        <c:lblOffset val="100"/>
        <c:noMultiLvlLbl val="0"/>
      </c:catAx>
      <c:valAx>
        <c:axId val="967027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Thousands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7036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18-24</a:t>
            </a:r>
            <a:r>
              <a:rPr lang="en-US" baseline="0"/>
              <a:t> year olds receiving JS and main benefits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'Main benefits - last 5 years'!$C$30</c:f>
              <c:strCache>
                <c:ptCount val="1"/>
                <c:pt idx="0">
                  <c:v>Main benefits (total)</c:v>
                </c:pt>
              </c:strCache>
            </c:strRef>
          </c:tx>
          <c:spPr>
            <a:ln w="28575" cap="rnd">
              <a:solidFill>
                <a:schemeClr val="accent1"/>
              </a:solidFill>
              <a:round/>
            </a:ln>
            <a:effectLst/>
          </c:spPr>
          <c:marker>
            <c:symbol val="none"/>
          </c:marker>
          <c:cat>
            <c:strRef>
              <c:f>'Main benefits - last 5 years'!$D$29:$X$29</c:f>
              <c:strCache>
                <c:ptCount val="21"/>
                <c:pt idx="0">
                  <c:v>Mar-16</c:v>
                </c:pt>
                <c:pt idx="1">
                  <c:v>Jun-16</c:v>
                </c:pt>
                <c:pt idx="2">
                  <c:v>Sep-16</c:v>
                </c:pt>
                <c:pt idx="3">
                  <c:v>Dec-16</c:v>
                </c:pt>
                <c:pt idx="4">
                  <c:v>Mar-17</c:v>
                </c:pt>
                <c:pt idx="5">
                  <c:v>Jun-17</c:v>
                </c:pt>
                <c:pt idx="6">
                  <c:v>Sep-17</c:v>
                </c:pt>
                <c:pt idx="7">
                  <c:v>Dec-17</c:v>
                </c:pt>
                <c:pt idx="8">
                  <c:v>Mar-18</c:v>
                </c:pt>
                <c:pt idx="9">
                  <c:v>Jun-18</c:v>
                </c:pt>
                <c:pt idx="10">
                  <c:v>Sep-18</c:v>
                </c:pt>
                <c:pt idx="11">
                  <c:v>Dec-18</c:v>
                </c:pt>
                <c:pt idx="12">
                  <c:v>Mar-19</c:v>
                </c:pt>
                <c:pt idx="13">
                  <c:v>Jun-19</c:v>
                </c:pt>
                <c:pt idx="14">
                  <c:v>Sep-19</c:v>
                </c:pt>
                <c:pt idx="15">
                  <c:v>Dec-19</c:v>
                </c:pt>
                <c:pt idx="16">
                  <c:v>Mar-20</c:v>
                </c:pt>
                <c:pt idx="17">
                  <c:v>Jun-20</c:v>
                </c:pt>
                <c:pt idx="18">
                  <c:v>Sep-20</c:v>
                </c:pt>
                <c:pt idx="19">
                  <c:v>Dec-20</c:v>
                </c:pt>
                <c:pt idx="20">
                  <c:v>Mar-21</c:v>
                </c:pt>
              </c:strCache>
            </c:strRef>
          </c:cat>
          <c:val>
            <c:numRef>
              <c:f>'Main benefits - last 5 years'!$D$30:$X$30</c:f>
              <c:numCache>
                <c:formatCode>#,##0</c:formatCode>
                <c:ptCount val="21"/>
                <c:pt idx="0">
                  <c:v>45495</c:v>
                </c:pt>
                <c:pt idx="1">
                  <c:v>45393</c:v>
                </c:pt>
                <c:pt idx="2">
                  <c:v>45729</c:v>
                </c:pt>
                <c:pt idx="3">
                  <c:v>52098</c:v>
                </c:pt>
                <c:pt idx="4">
                  <c:v>43530</c:v>
                </c:pt>
                <c:pt idx="5">
                  <c:v>42615</c:v>
                </c:pt>
                <c:pt idx="6">
                  <c:v>42372</c:v>
                </c:pt>
                <c:pt idx="7">
                  <c:v>47931</c:v>
                </c:pt>
                <c:pt idx="8">
                  <c:v>41370</c:v>
                </c:pt>
                <c:pt idx="9">
                  <c:v>41916</c:v>
                </c:pt>
                <c:pt idx="10">
                  <c:v>43410</c:v>
                </c:pt>
                <c:pt idx="11">
                  <c:v>49272</c:v>
                </c:pt>
                <c:pt idx="12">
                  <c:v>43884</c:v>
                </c:pt>
                <c:pt idx="13">
                  <c:v>45201</c:v>
                </c:pt>
                <c:pt idx="14">
                  <c:v>46521</c:v>
                </c:pt>
                <c:pt idx="15">
                  <c:v>52191</c:v>
                </c:pt>
                <c:pt idx="16">
                  <c:v>49293</c:v>
                </c:pt>
                <c:pt idx="17">
                  <c:v>63513</c:v>
                </c:pt>
                <c:pt idx="18">
                  <c:v>66285</c:v>
                </c:pt>
                <c:pt idx="19">
                  <c:v>73812</c:v>
                </c:pt>
                <c:pt idx="20">
                  <c:v>62472</c:v>
                </c:pt>
              </c:numCache>
            </c:numRef>
          </c:val>
          <c:smooth val="0"/>
          <c:extLst>
            <c:ext xmlns:c16="http://schemas.microsoft.com/office/drawing/2014/chart" uri="{C3380CC4-5D6E-409C-BE32-E72D297353CC}">
              <c16:uniqueId val="{00000000-81E1-4B24-8DAC-6194E977C5E1}"/>
            </c:ext>
          </c:extLst>
        </c:ser>
        <c:ser>
          <c:idx val="1"/>
          <c:order val="1"/>
          <c:tx>
            <c:strRef>
              <c:f>'Main benefits - last 5 years'!$C$31</c:f>
              <c:strCache>
                <c:ptCount val="1"/>
                <c:pt idx="0">
                  <c:v>Jobseeker Support</c:v>
                </c:pt>
              </c:strCache>
            </c:strRef>
          </c:tx>
          <c:spPr>
            <a:ln w="28575" cap="rnd">
              <a:solidFill>
                <a:schemeClr val="accent2"/>
              </a:solidFill>
              <a:round/>
            </a:ln>
            <a:effectLst/>
          </c:spPr>
          <c:marker>
            <c:symbol val="none"/>
          </c:marker>
          <c:cat>
            <c:strRef>
              <c:f>'Main benefits - last 5 years'!$D$29:$X$29</c:f>
              <c:strCache>
                <c:ptCount val="21"/>
                <c:pt idx="0">
                  <c:v>Mar-16</c:v>
                </c:pt>
                <c:pt idx="1">
                  <c:v>Jun-16</c:v>
                </c:pt>
                <c:pt idx="2">
                  <c:v>Sep-16</c:v>
                </c:pt>
                <c:pt idx="3">
                  <c:v>Dec-16</c:v>
                </c:pt>
                <c:pt idx="4">
                  <c:v>Mar-17</c:v>
                </c:pt>
                <c:pt idx="5">
                  <c:v>Jun-17</c:v>
                </c:pt>
                <c:pt idx="6">
                  <c:v>Sep-17</c:v>
                </c:pt>
                <c:pt idx="7">
                  <c:v>Dec-17</c:v>
                </c:pt>
                <c:pt idx="8">
                  <c:v>Mar-18</c:v>
                </c:pt>
                <c:pt idx="9">
                  <c:v>Jun-18</c:v>
                </c:pt>
                <c:pt idx="10">
                  <c:v>Sep-18</c:v>
                </c:pt>
                <c:pt idx="11">
                  <c:v>Dec-18</c:v>
                </c:pt>
                <c:pt idx="12">
                  <c:v>Mar-19</c:v>
                </c:pt>
                <c:pt idx="13">
                  <c:v>Jun-19</c:v>
                </c:pt>
                <c:pt idx="14">
                  <c:v>Sep-19</c:v>
                </c:pt>
                <c:pt idx="15">
                  <c:v>Dec-19</c:v>
                </c:pt>
                <c:pt idx="16">
                  <c:v>Mar-20</c:v>
                </c:pt>
                <c:pt idx="17">
                  <c:v>Jun-20</c:v>
                </c:pt>
                <c:pt idx="18">
                  <c:v>Sep-20</c:v>
                </c:pt>
                <c:pt idx="19">
                  <c:v>Dec-20</c:v>
                </c:pt>
                <c:pt idx="20">
                  <c:v>Mar-21</c:v>
                </c:pt>
              </c:strCache>
            </c:strRef>
          </c:cat>
          <c:val>
            <c:numRef>
              <c:f>'Main benefits - last 5 years'!$D$31:$X$31</c:f>
              <c:numCache>
                <c:formatCode>#,##0</c:formatCode>
                <c:ptCount val="21"/>
                <c:pt idx="0">
                  <c:v>23805</c:v>
                </c:pt>
                <c:pt idx="1">
                  <c:v>23796</c:v>
                </c:pt>
                <c:pt idx="2">
                  <c:v>24468</c:v>
                </c:pt>
                <c:pt idx="3">
                  <c:v>25305</c:v>
                </c:pt>
                <c:pt idx="4">
                  <c:v>23445</c:v>
                </c:pt>
                <c:pt idx="5">
                  <c:v>22791</c:v>
                </c:pt>
                <c:pt idx="6">
                  <c:v>22878</c:v>
                </c:pt>
                <c:pt idx="7">
                  <c:v>23808</c:v>
                </c:pt>
                <c:pt idx="8">
                  <c:v>22710</c:v>
                </c:pt>
                <c:pt idx="9">
                  <c:v>23268</c:v>
                </c:pt>
                <c:pt idx="10">
                  <c:v>25062</c:v>
                </c:pt>
                <c:pt idx="11">
                  <c:v>26406</c:v>
                </c:pt>
                <c:pt idx="12">
                  <c:v>25824</c:v>
                </c:pt>
                <c:pt idx="13">
                  <c:v>27126</c:v>
                </c:pt>
                <c:pt idx="14">
                  <c:v>28527</c:v>
                </c:pt>
                <c:pt idx="15">
                  <c:v>29919</c:v>
                </c:pt>
                <c:pt idx="16">
                  <c:v>31290</c:v>
                </c:pt>
                <c:pt idx="17">
                  <c:v>44931</c:v>
                </c:pt>
                <c:pt idx="18">
                  <c:v>47445</c:v>
                </c:pt>
                <c:pt idx="19">
                  <c:v>49353</c:v>
                </c:pt>
                <c:pt idx="20">
                  <c:v>44409</c:v>
                </c:pt>
              </c:numCache>
            </c:numRef>
          </c:val>
          <c:smooth val="0"/>
          <c:extLst>
            <c:ext xmlns:c16="http://schemas.microsoft.com/office/drawing/2014/chart" uri="{C3380CC4-5D6E-409C-BE32-E72D297353CC}">
              <c16:uniqueId val="{00000001-81E1-4B24-8DAC-6194E977C5E1}"/>
            </c:ext>
          </c:extLst>
        </c:ser>
        <c:dLbls>
          <c:showLegendKey val="0"/>
          <c:showVal val="0"/>
          <c:showCatName val="0"/>
          <c:showSerName val="0"/>
          <c:showPercent val="0"/>
          <c:showBubbleSize val="0"/>
        </c:dLbls>
        <c:smooth val="0"/>
        <c:axId val="822148896"/>
        <c:axId val="822151520"/>
      </c:lineChart>
      <c:catAx>
        <c:axId val="82214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2151520"/>
        <c:crosses val="autoZero"/>
        <c:auto val="1"/>
        <c:lblAlgn val="ctr"/>
        <c:lblOffset val="100"/>
        <c:noMultiLvlLbl val="0"/>
      </c:catAx>
      <c:valAx>
        <c:axId val="822151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21488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18-24 year olds receiving other types of benefits</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'Main benefits - last 5 years'!$C$44</c:f>
              <c:strCache>
                <c:ptCount val="1"/>
                <c:pt idx="0">
                  <c:v>Sole Parent Support</c:v>
                </c:pt>
              </c:strCache>
            </c:strRef>
          </c:tx>
          <c:spPr>
            <a:ln w="28575" cap="rnd">
              <a:solidFill>
                <a:schemeClr val="accent1"/>
              </a:solidFill>
              <a:round/>
            </a:ln>
            <a:effectLst/>
          </c:spPr>
          <c:marker>
            <c:symbol val="none"/>
          </c:marker>
          <c:cat>
            <c:strRef>
              <c:f>'Main benefits - last 5 years'!$D$43:$X$43</c:f>
              <c:strCache>
                <c:ptCount val="21"/>
                <c:pt idx="0">
                  <c:v>Mar-16</c:v>
                </c:pt>
                <c:pt idx="1">
                  <c:v>Jun-16</c:v>
                </c:pt>
                <c:pt idx="2">
                  <c:v>Sep-16</c:v>
                </c:pt>
                <c:pt idx="3">
                  <c:v>Dec-16</c:v>
                </c:pt>
                <c:pt idx="4">
                  <c:v>Mar-17</c:v>
                </c:pt>
                <c:pt idx="5">
                  <c:v>Jun-17</c:v>
                </c:pt>
                <c:pt idx="6">
                  <c:v>Sep-17</c:v>
                </c:pt>
                <c:pt idx="7">
                  <c:v>Dec-17</c:v>
                </c:pt>
                <c:pt idx="8">
                  <c:v>Mar-18</c:v>
                </c:pt>
                <c:pt idx="9">
                  <c:v>Jun-18</c:v>
                </c:pt>
                <c:pt idx="10">
                  <c:v>Sep-18</c:v>
                </c:pt>
                <c:pt idx="11">
                  <c:v>Dec-18</c:v>
                </c:pt>
                <c:pt idx="12">
                  <c:v>Mar-19</c:v>
                </c:pt>
                <c:pt idx="13">
                  <c:v>Jun-19</c:v>
                </c:pt>
                <c:pt idx="14">
                  <c:v>Sep-19</c:v>
                </c:pt>
                <c:pt idx="15">
                  <c:v>Dec-19</c:v>
                </c:pt>
                <c:pt idx="16">
                  <c:v>Mar-20</c:v>
                </c:pt>
                <c:pt idx="17">
                  <c:v>Jun-20</c:v>
                </c:pt>
                <c:pt idx="18">
                  <c:v>Sep-20</c:v>
                </c:pt>
                <c:pt idx="19">
                  <c:v>Dec-20</c:v>
                </c:pt>
                <c:pt idx="20">
                  <c:v>Mar-21</c:v>
                </c:pt>
              </c:strCache>
            </c:strRef>
          </c:cat>
          <c:val>
            <c:numRef>
              <c:f>'Main benefits - last 5 years'!$D$44:$X$44</c:f>
              <c:numCache>
                <c:formatCode>#,##0</c:formatCode>
                <c:ptCount val="21"/>
                <c:pt idx="0">
                  <c:v>13698</c:v>
                </c:pt>
                <c:pt idx="1">
                  <c:v>13296</c:v>
                </c:pt>
                <c:pt idx="2">
                  <c:v>12849</c:v>
                </c:pt>
                <c:pt idx="3">
                  <c:v>12570</c:v>
                </c:pt>
                <c:pt idx="4">
                  <c:v>11577</c:v>
                </c:pt>
                <c:pt idx="5">
                  <c:v>10998</c:v>
                </c:pt>
                <c:pt idx="6">
                  <c:v>10473</c:v>
                </c:pt>
                <c:pt idx="7">
                  <c:v>10452</c:v>
                </c:pt>
                <c:pt idx="8">
                  <c:v>10041</c:v>
                </c:pt>
                <c:pt idx="9">
                  <c:v>9843</c:v>
                </c:pt>
                <c:pt idx="10">
                  <c:v>9603</c:v>
                </c:pt>
                <c:pt idx="11">
                  <c:v>9573</c:v>
                </c:pt>
                <c:pt idx="12">
                  <c:v>9291</c:v>
                </c:pt>
                <c:pt idx="13">
                  <c:v>9282</c:v>
                </c:pt>
                <c:pt idx="14">
                  <c:v>9171</c:v>
                </c:pt>
                <c:pt idx="15">
                  <c:v>9270</c:v>
                </c:pt>
                <c:pt idx="16">
                  <c:v>9180</c:v>
                </c:pt>
                <c:pt idx="17">
                  <c:v>9390</c:v>
                </c:pt>
                <c:pt idx="18">
                  <c:v>9426</c:v>
                </c:pt>
                <c:pt idx="19">
                  <c:v>9468</c:v>
                </c:pt>
                <c:pt idx="20">
                  <c:v>9276</c:v>
                </c:pt>
              </c:numCache>
            </c:numRef>
          </c:val>
          <c:smooth val="0"/>
          <c:extLst>
            <c:ext xmlns:c16="http://schemas.microsoft.com/office/drawing/2014/chart" uri="{C3380CC4-5D6E-409C-BE32-E72D297353CC}">
              <c16:uniqueId val="{00000000-B9BC-468B-A388-8004AF94916D}"/>
            </c:ext>
          </c:extLst>
        </c:ser>
        <c:ser>
          <c:idx val="1"/>
          <c:order val="1"/>
          <c:tx>
            <c:strRef>
              <c:f>'Main benefits - last 5 years'!$C$45</c:f>
              <c:strCache>
                <c:ptCount val="1"/>
                <c:pt idx="0">
                  <c:v>Supported Living Payment</c:v>
                </c:pt>
              </c:strCache>
            </c:strRef>
          </c:tx>
          <c:spPr>
            <a:ln w="28575" cap="rnd">
              <a:solidFill>
                <a:schemeClr val="accent2"/>
              </a:solidFill>
              <a:round/>
            </a:ln>
            <a:effectLst/>
          </c:spPr>
          <c:marker>
            <c:symbol val="none"/>
          </c:marker>
          <c:cat>
            <c:strRef>
              <c:f>'Main benefits - last 5 years'!$D$43:$X$43</c:f>
              <c:strCache>
                <c:ptCount val="21"/>
                <c:pt idx="0">
                  <c:v>Mar-16</c:v>
                </c:pt>
                <c:pt idx="1">
                  <c:v>Jun-16</c:v>
                </c:pt>
                <c:pt idx="2">
                  <c:v>Sep-16</c:v>
                </c:pt>
                <c:pt idx="3">
                  <c:v>Dec-16</c:v>
                </c:pt>
                <c:pt idx="4">
                  <c:v>Mar-17</c:v>
                </c:pt>
                <c:pt idx="5">
                  <c:v>Jun-17</c:v>
                </c:pt>
                <c:pt idx="6">
                  <c:v>Sep-17</c:v>
                </c:pt>
                <c:pt idx="7">
                  <c:v>Dec-17</c:v>
                </c:pt>
                <c:pt idx="8">
                  <c:v>Mar-18</c:v>
                </c:pt>
                <c:pt idx="9">
                  <c:v>Jun-18</c:v>
                </c:pt>
                <c:pt idx="10">
                  <c:v>Sep-18</c:v>
                </c:pt>
                <c:pt idx="11">
                  <c:v>Dec-18</c:v>
                </c:pt>
                <c:pt idx="12">
                  <c:v>Mar-19</c:v>
                </c:pt>
                <c:pt idx="13">
                  <c:v>Jun-19</c:v>
                </c:pt>
                <c:pt idx="14">
                  <c:v>Sep-19</c:v>
                </c:pt>
                <c:pt idx="15">
                  <c:v>Dec-19</c:v>
                </c:pt>
                <c:pt idx="16">
                  <c:v>Mar-20</c:v>
                </c:pt>
                <c:pt idx="17">
                  <c:v>Jun-20</c:v>
                </c:pt>
                <c:pt idx="18">
                  <c:v>Sep-20</c:v>
                </c:pt>
                <c:pt idx="19">
                  <c:v>Dec-20</c:v>
                </c:pt>
                <c:pt idx="20">
                  <c:v>Mar-21</c:v>
                </c:pt>
              </c:strCache>
            </c:strRef>
          </c:cat>
          <c:val>
            <c:numRef>
              <c:f>'Main benefits - last 5 years'!$D$45:$X$45</c:f>
              <c:numCache>
                <c:formatCode>#,##0</c:formatCode>
                <c:ptCount val="21"/>
                <c:pt idx="0">
                  <c:v>6813</c:v>
                </c:pt>
                <c:pt idx="1">
                  <c:v>6843</c:v>
                </c:pt>
                <c:pt idx="2">
                  <c:v>6825</c:v>
                </c:pt>
                <c:pt idx="3">
                  <c:v>6798</c:v>
                </c:pt>
                <c:pt idx="4">
                  <c:v>6825</c:v>
                </c:pt>
                <c:pt idx="5">
                  <c:v>6828</c:v>
                </c:pt>
                <c:pt idx="6">
                  <c:v>6840</c:v>
                </c:pt>
                <c:pt idx="7">
                  <c:v>6846</c:v>
                </c:pt>
                <c:pt idx="8">
                  <c:v>6843</c:v>
                </c:pt>
                <c:pt idx="9">
                  <c:v>6852</c:v>
                </c:pt>
                <c:pt idx="10">
                  <c:v>6783</c:v>
                </c:pt>
                <c:pt idx="11">
                  <c:v>6822</c:v>
                </c:pt>
                <c:pt idx="12">
                  <c:v>6924</c:v>
                </c:pt>
                <c:pt idx="13">
                  <c:v>6924</c:v>
                </c:pt>
                <c:pt idx="14">
                  <c:v>6888</c:v>
                </c:pt>
                <c:pt idx="15">
                  <c:v>6927</c:v>
                </c:pt>
                <c:pt idx="16">
                  <c:v>7080</c:v>
                </c:pt>
                <c:pt idx="17">
                  <c:v>7134</c:v>
                </c:pt>
                <c:pt idx="18">
                  <c:v>7104</c:v>
                </c:pt>
                <c:pt idx="19">
                  <c:v>7140</c:v>
                </c:pt>
                <c:pt idx="20">
                  <c:v>7233</c:v>
                </c:pt>
              </c:numCache>
            </c:numRef>
          </c:val>
          <c:smooth val="0"/>
          <c:extLst>
            <c:ext xmlns:c16="http://schemas.microsoft.com/office/drawing/2014/chart" uri="{C3380CC4-5D6E-409C-BE32-E72D297353CC}">
              <c16:uniqueId val="{00000001-B9BC-468B-A388-8004AF94916D}"/>
            </c:ext>
          </c:extLst>
        </c:ser>
        <c:ser>
          <c:idx val="2"/>
          <c:order val="2"/>
          <c:tx>
            <c:strRef>
              <c:f>'Main benefits - last 5 years'!$C$46</c:f>
              <c:strCache>
                <c:ptCount val="1"/>
                <c:pt idx="0">
                  <c:v>Youth Payment &amp; Young Parent Payment </c:v>
                </c:pt>
              </c:strCache>
            </c:strRef>
          </c:tx>
          <c:spPr>
            <a:ln w="28575" cap="rnd">
              <a:solidFill>
                <a:schemeClr val="accent3"/>
              </a:solidFill>
              <a:round/>
            </a:ln>
            <a:effectLst/>
          </c:spPr>
          <c:marker>
            <c:symbol val="none"/>
          </c:marker>
          <c:cat>
            <c:strRef>
              <c:f>'Main benefits - last 5 years'!$D$43:$X$43</c:f>
              <c:strCache>
                <c:ptCount val="21"/>
                <c:pt idx="0">
                  <c:v>Mar-16</c:v>
                </c:pt>
                <c:pt idx="1">
                  <c:v>Jun-16</c:v>
                </c:pt>
                <c:pt idx="2">
                  <c:v>Sep-16</c:v>
                </c:pt>
                <c:pt idx="3">
                  <c:v>Dec-16</c:v>
                </c:pt>
                <c:pt idx="4">
                  <c:v>Mar-17</c:v>
                </c:pt>
                <c:pt idx="5">
                  <c:v>Jun-17</c:v>
                </c:pt>
                <c:pt idx="6">
                  <c:v>Sep-17</c:v>
                </c:pt>
                <c:pt idx="7">
                  <c:v>Dec-17</c:v>
                </c:pt>
                <c:pt idx="8">
                  <c:v>Mar-18</c:v>
                </c:pt>
                <c:pt idx="9">
                  <c:v>Jun-18</c:v>
                </c:pt>
                <c:pt idx="10">
                  <c:v>Sep-18</c:v>
                </c:pt>
                <c:pt idx="11">
                  <c:v>Dec-18</c:v>
                </c:pt>
                <c:pt idx="12">
                  <c:v>Mar-19</c:v>
                </c:pt>
                <c:pt idx="13">
                  <c:v>Jun-19</c:v>
                </c:pt>
                <c:pt idx="14">
                  <c:v>Sep-19</c:v>
                </c:pt>
                <c:pt idx="15">
                  <c:v>Dec-19</c:v>
                </c:pt>
                <c:pt idx="16">
                  <c:v>Mar-20</c:v>
                </c:pt>
                <c:pt idx="17">
                  <c:v>Jun-20</c:v>
                </c:pt>
                <c:pt idx="18">
                  <c:v>Sep-20</c:v>
                </c:pt>
                <c:pt idx="19">
                  <c:v>Dec-20</c:v>
                </c:pt>
                <c:pt idx="20">
                  <c:v>Mar-21</c:v>
                </c:pt>
              </c:strCache>
            </c:strRef>
          </c:cat>
          <c:val>
            <c:numRef>
              <c:f>'Main benefits - last 5 years'!$D$46:$X$46</c:f>
              <c:numCache>
                <c:formatCode>#,##0</c:formatCode>
                <c:ptCount val="21"/>
                <c:pt idx="0">
                  <c:v>1857</c:v>
                </c:pt>
                <c:pt idx="1">
                  <c:v>1887</c:v>
                </c:pt>
                <c:pt idx="2">
                  <c:v>1815</c:v>
                </c:pt>
                <c:pt idx="3">
                  <c:v>1755</c:v>
                </c:pt>
                <c:pt idx="4">
                  <c:v>1677</c:v>
                </c:pt>
                <c:pt idx="5">
                  <c:v>1650</c:v>
                </c:pt>
                <c:pt idx="6">
                  <c:v>1665</c:v>
                </c:pt>
                <c:pt idx="7">
                  <c:v>1590</c:v>
                </c:pt>
                <c:pt idx="8">
                  <c:v>1494</c:v>
                </c:pt>
                <c:pt idx="9">
                  <c:v>1605</c:v>
                </c:pt>
                <c:pt idx="10">
                  <c:v>1503</c:v>
                </c:pt>
                <c:pt idx="11">
                  <c:v>1482</c:v>
                </c:pt>
                <c:pt idx="12">
                  <c:v>1419</c:v>
                </c:pt>
                <c:pt idx="13">
                  <c:v>1398</c:v>
                </c:pt>
                <c:pt idx="14">
                  <c:v>1428</c:v>
                </c:pt>
                <c:pt idx="15">
                  <c:v>1434</c:v>
                </c:pt>
                <c:pt idx="16">
                  <c:v>1491</c:v>
                </c:pt>
                <c:pt idx="17">
                  <c:v>1536</c:v>
                </c:pt>
                <c:pt idx="18">
                  <c:v>1737</c:v>
                </c:pt>
                <c:pt idx="19">
                  <c:v>1662</c:v>
                </c:pt>
                <c:pt idx="20">
                  <c:v>1578</c:v>
                </c:pt>
              </c:numCache>
            </c:numRef>
          </c:val>
          <c:smooth val="0"/>
          <c:extLst>
            <c:ext xmlns:c16="http://schemas.microsoft.com/office/drawing/2014/chart" uri="{C3380CC4-5D6E-409C-BE32-E72D297353CC}">
              <c16:uniqueId val="{00000002-B9BC-468B-A388-8004AF94916D}"/>
            </c:ext>
          </c:extLst>
        </c:ser>
        <c:dLbls>
          <c:showLegendKey val="0"/>
          <c:showVal val="0"/>
          <c:showCatName val="0"/>
          <c:showSerName val="0"/>
          <c:showPercent val="0"/>
          <c:showBubbleSize val="0"/>
        </c:dLbls>
        <c:smooth val="0"/>
        <c:axId val="683497248"/>
        <c:axId val="683497576"/>
      </c:lineChart>
      <c:catAx>
        <c:axId val="68349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497576"/>
        <c:crosses val="autoZero"/>
        <c:auto val="1"/>
        <c:lblAlgn val="ctr"/>
        <c:lblOffset val="100"/>
        <c:noMultiLvlLbl val="0"/>
      </c:catAx>
      <c:valAx>
        <c:axId val="683497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4972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Total</a:t>
            </a:r>
            <a:r>
              <a:rPr lang="en-NZ" baseline="0"/>
              <a:t> Population - 2018</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Male</c:v>
          </c:tx>
          <c:spPr>
            <a:solidFill>
              <a:schemeClr val="accent1"/>
            </a:solidFill>
            <a:ln>
              <a:solidFill>
                <a:schemeClr val="tx1"/>
              </a:solidFill>
            </a:ln>
            <a:effectLst/>
          </c:spPr>
          <c:invertIfNegative val="0"/>
          <c:cat>
            <c:strRef>
              <c:f>'[7a367bba-3bcc-41d7-962d-647f329b0af4.xls]NZ.Stat export'!$I$168:$I$186</c:f>
              <c:strCache>
                <c:ptCount val="19"/>
                <c:pt idx="0">
                  <c:v>  0-4 years</c:v>
                </c:pt>
                <c:pt idx="1">
                  <c:v>  5-9 years</c:v>
                </c:pt>
                <c:pt idx="2">
                  <c:v>  10-14 years</c:v>
                </c:pt>
                <c:pt idx="3">
                  <c:v>  15-19 years</c:v>
                </c:pt>
                <c:pt idx="4">
                  <c:v>  20-24 years</c:v>
                </c:pt>
                <c:pt idx="5">
                  <c:v>  25-29 years</c:v>
                </c:pt>
                <c:pt idx="6">
                  <c:v>  30-34 years</c:v>
                </c:pt>
                <c:pt idx="7">
                  <c:v>  35-39 years</c:v>
                </c:pt>
                <c:pt idx="8">
                  <c:v>  40-44 years</c:v>
                </c:pt>
                <c:pt idx="9">
                  <c:v>  45-49 years</c:v>
                </c:pt>
                <c:pt idx="10">
                  <c:v>  50-54 years</c:v>
                </c:pt>
                <c:pt idx="11">
                  <c:v>  55-59 years</c:v>
                </c:pt>
                <c:pt idx="12">
                  <c:v>  60-64 years</c:v>
                </c:pt>
                <c:pt idx="13">
                  <c:v>  65-69 years</c:v>
                </c:pt>
                <c:pt idx="14">
                  <c:v>  70-74 years</c:v>
                </c:pt>
                <c:pt idx="15">
                  <c:v>  75-79 years</c:v>
                </c:pt>
                <c:pt idx="16">
                  <c:v>  80-84 years</c:v>
                </c:pt>
                <c:pt idx="17">
                  <c:v>  85-89 years</c:v>
                </c:pt>
                <c:pt idx="18">
                  <c:v>  90 years and over</c:v>
                </c:pt>
              </c:strCache>
            </c:strRef>
          </c:cat>
          <c:val>
            <c:numRef>
              <c:f>'[7a367bba-3bcc-41d7-962d-647f329b0af4.xls]NZ.Stat export'!$L$168:$L$186</c:f>
              <c:numCache>
                <c:formatCode>General</c:formatCode>
                <c:ptCount val="19"/>
                <c:pt idx="0">
                  <c:v>153000</c:v>
                </c:pt>
                <c:pt idx="1">
                  <c:v>157300</c:v>
                </c:pt>
                <c:pt idx="2">
                  <c:v>169100</c:v>
                </c:pt>
                <c:pt idx="3">
                  <c:v>184300</c:v>
                </c:pt>
                <c:pt idx="4">
                  <c:v>178900</c:v>
                </c:pt>
                <c:pt idx="5">
                  <c:v>172800</c:v>
                </c:pt>
                <c:pt idx="6">
                  <c:v>191600</c:v>
                </c:pt>
                <c:pt idx="7">
                  <c:v>206700</c:v>
                </c:pt>
                <c:pt idx="8">
                  <c:v>183200</c:v>
                </c:pt>
                <c:pt idx="9">
                  <c:v>164000</c:v>
                </c:pt>
                <c:pt idx="10">
                  <c:v>151600</c:v>
                </c:pt>
                <c:pt idx="11">
                  <c:v>162700</c:v>
                </c:pt>
                <c:pt idx="12">
                  <c:v>154300</c:v>
                </c:pt>
                <c:pt idx="13">
                  <c:v>148600</c:v>
                </c:pt>
                <c:pt idx="14">
                  <c:v>121700</c:v>
                </c:pt>
                <c:pt idx="15">
                  <c:v>96900</c:v>
                </c:pt>
                <c:pt idx="16">
                  <c:v>66700</c:v>
                </c:pt>
                <c:pt idx="17">
                  <c:v>33500</c:v>
                </c:pt>
                <c:pt idx="18">
                  <c:v>14900</c:v>
                </c:pt>
              </c:numCache>
            </c:numRef>
          </c:val>
          <c:extLst>
            <c:ext xmlns:c16="http://schemas.microsoft.com/office/drawing/2014/chart" uri="{C3380CC4-5D6E-409C-BE32-E72D297353CC}">
              <c16:uniqueId val="{00000000-CA08-43D3-B729-236DA259BC44}"/>
            </c:ext>
          </c:extLst>
        </c:ser>
        <c:ser>
          <c:idx val="1"/>
          <c:order val="1"/>
          <c:tx>
            <c:v>Female</c:v>
          </c:tx>
          <c:spPr>
            <a:solidFill>
              <a:schemeClr val="accent2"/>
            </a:solidFill>
            <a:ln>
              <a:solidFill>
                <a:schemeClr val="tx1"/>
              </a:solidFill>
            </a:ln>
            <a:effectLst/>
          </c:spPr>
          <c:invertIfNegative val="0"/>
          <c:cat>
            <c:strRef>
              <c:f>'[7a367bba-3bcc-41d7-962d-647f329b0af4.xls]NZ.Stat export'!$I$168:$I$186</c:f>
              <c:strCache>
                <c:ptCount val="19"/>
                <c:pt idx="0">
                  <c:v>  0-4 years</c:v>
                </c:pt>
                <c:pt idx="1">
                  <c:v>  5-9 years</c:v>
                </c:pt>
                <c:pt idx="2">
                  <c:v>  10-14 years</c:v>
                </c:pt>
                <c:pt idx="3">
                  <c:v>  15-19 years</c:v>
                </c:pt>
                <c:pt idx="4">
                  <c:v>  20-24 years</c:v>
                </c:pt>
                <c:pt idx="5">
                  <c:v>  25-29 years</c:v>
                </c:pt>
                <c:pt idx="6">
                  <c:v>  30-34 years</c:v>
                </c:pt>
                <c:pt idx="7">
                  <c:v>  35-39 years</c:v>
                </c:pt>
                <c:pt idx="8">
                  <c:v>  40-44 years</c:v>
                </c:pt>
                <c:pt idx="9">
                  <c:v>  45-49 years</c:v>
                </c:pt>
                <c:pt idx="10">
                  <c:v>  50-54 years</c:v>
                </c:pt>
                <c:pt idx="11">
                  <c:v>  55-59 years</c:v>
                </c:pt>
                <c:pt idx="12">
                  <c:v>  60-64 years</c:v>
                </c:pt>
                <c:pt idx="13">
                  <c:v>  65-69 years</c:v>
                </c:pt>
                <c:pt idx="14">
                  <c:v>  70-74 years</c:v>
                </c:pt>
                <c:pt idx="15">
                  <c:v>  75-79 years</c:v>
                </c:pt>
                <c:pt idx="16">
                  <c:v>  80-84 years</c:v>
                </c:pt>
                <c:pt idx="17">
                  <c:v>  85-89 years</c:v>
                </c:pt>
                <c:pt idx="18">
                  <c:v>  90 years and over</c:v>
                </c:pt>
              </c:strCache>
            </c:strRef>
          </c:cat>
          <c:val>
            <c:numRef>
              <c:f>'[7a367bba-3bcc-41d7-962d-647f329b0af4.xls]NZ.Stat export'!$N$168:$N$186</c:f>
              <c:numCache>
                <c:formatCode>General</c:formatCode>
                <c:ptCount val="19"/>
                <c:pt idx="0">
                  <c:v>-145100</c:v>
                </c:pt>
                <c:pt idx="1">
                  <c:v>-149000</c:v>
                </c:pt>
                <c:pt idx="2">
                  <c:v>-159400</c:v>
                </c:pt>
                <c:pt idx="3">
                  <c:v>-174000</c:v>
                </c:pt>
                <c:pt idx="4">
                  <c:v>-166400</c:v>
                </c:pt>
                <c:pt idx="5">
                  <c:v>-167200</c:v>
                </c:pt>
                <c:pt idx="6">
                  <c:v>-186900</c:v>
                </c:pt>
                <c:pt idx="7">
                  <c:v>-205200</c:v>
                </c:pt>
                <c:pt idx="8">
                  <c:v>-185600</c:v>
                </c:pt>
                <c:pt idx="9">
                  <c:v>-164800</c:v>
                </c:pt>
                <c:pt idx="10">
                  <c:v>-156000</c:v>
                </c:pt>
                <c:pt idx="11">
                  <c:v>-171100</c:v>
                </c:pt>
                <c:pt idx="12">
                  <c:v>-164000</c:v>
                </c:pt>
                <c:pt idx="13">
                  <c:v>-160500</c:v>
                </c:pt>
                <c:pt idx="14">
                  <c:v>-133400</c:v>
                </c:pt>
                <c:pt idx="15">
                  <c:v>-107700</c:v>
                </c:pt>
                <c:pt idx="16">
                  <c:v>-79500</c:v>
                </c:pt>
                <c:pt idx="17">
                  <c:v>-46100</c:v>
                </c:pt>
                <c:pt idx="18">
                  <c:v>-26700</c:v>
                </c:pt>
              </c:numCache>
            </c:numRef>
          </c:val>
          <c:extLst>
            <c:ext xmlns:c16="http://schemas.microsoft.com/office/drawing/2014/chart" uri="{C3380CC4-5D6E-409C-BE32-E72D297353CC}">
              <c16:uniqueId val="{00000001-CA08-43D3-B729-236DA259BC44}"/>
            </c:ext>
          </c:extLst>
        </c:ser>
        <c:dLbls>
          <c:showLegendKey val="0"/>
          <c:showVal val="0"/>
          <c:showCatName val="0"/>
          <c:showSerName val="0"/>
          <c:showPercent val="0"/>
          <c:showBubbleSize val="0"/>
        </c:dLbls>
        <c:gapWidth val="0"/>
        <c:overlap val="100"/>
        <c:axId val="490271208"/>
        <c:axId val="490269568"/>
      </c:barChart>
      <c:catAx>
        <c:axId val="49027120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269568"/>
        <c:crosses val="autoZero"/>
        <c:auto val="1"/>
        <c:lblAlgn val="ctr"/>
        <c:lblOffset val="100"/>
        <c:noMultiLvlLbl val="0"/>
      </c:catAx>
      <c:valAx>
        <c:axId val="49026956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271208"/>
        <c:crosses val="autoZero"/>
        <c:crossBetween val="between"/>
        <c:dispUnits>
          <c:builtInUnit val="thousands"/>
          <c:dispUnitsLbl>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Total Population - 2028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Male</c:v>
          </c:tx>
          <c:spPr>
            <a:solidFill>
              <a:schemeClr val="accent1"/>
            </a:solidFill>
            <a:ln>
              <a:solidFill>
                <a:schemeClr val="tx1"/>
              </a:solidFill>
            </a:ln>
            <a:effectLst/>
          </c:spPr>
          <c:invertIfNegative val="0"/>
          <c:cat>
            <c:strRef>
              <c:f>'[7a367bba-3bcc-41d7-962d-647f329b0af4.xls]NZ.Stat export'!$B$168:$B$186</c:f>
              <c:strCache>
                <c:ptCount val="19"/>
                <c:pt idx="0">
                  <c:v>  0-4 years</c:v>
                </c:pt>
                <c:pt idx="1">
                  <c:v>  5-9 years</c:v>
                </c:pt>
                <c:pt idx="2">
                  <c:v>  10-14 years</c:v>
                </c:pt>
                <c:pt idx="3">
                  <c:v>  15-19 years</c:v>
                </c:pt>
                <c:pt idx="4">
                  <c:v>  20-24 years</c:v>
                </c:pt>
                <c:pt idx="5">
                  <c:v>  25-29 years</c:v>
                </c:pt>
                <c:pt idx="6">
                  <c:v>  30-34 years</c:v>
                </c:pt>
                <c:pt idx="7">
                  <c:v>  35-39 years</c:v>
                </c:pt>
                <c:pt idx="8">
                  <c:v>  40-44 years</c:v>
                </c:pt>
                <c:pt idx="9">
                  <c:v>  45-49 years</c:v>
                </c:pt>
                <c:pt idx="10">
                  <c:v>  50-54 years</c:v>
                </c:pt>
                <c:pt idx="11">
                  <c:v>  55-59 years</c:v>
                </c:pt>
                <c:pt idx="12">
                  <c:v>  60-64 years</c:v>
                </c:pt>
                <c:pt idx="13">
                  <c:v>  65-69 years</c:v>
                </c:pt>
                <c:pt idx="14">
                  <c:v>  70-74 years</c:v>
                </c:pt>
                <c:pt idx="15">
                  <c:v>  75-79 years</c:v>
                </c:pt>
                <c:pt idx="16">
                  <c:v>  80-84 years</c:v>
                </c:pt>
                <c:pt idx="17">
                  <c:v>  85-89 years</c:v>
                </c:pt>
                <c:pt idx="18">
                  <c:v>  90 years and over</c:v>
                </c:pt>
              </c:strCache>
            </c:strRef>
          </c:cat>
          <c:val>
            <c:numRef>
              <c:f>'[7a367bba-3bcc-41d7-962d-647f329b0af4.xls]NZ.Stat export'!$E$168:$E$186</c:f>
              <c:numCache>
                <c:formatCode>General</c:formatCode>
                <c:ptCount val="19"/>
                <c:pt idx="0">
                  <c:v>156820</c:v>
                </c:pt>
                <c:pt idx="1">
                  <c:v>168430</c:v>
                </c:pt>
                <c:pt idx="2">
                  <c:v>160680</c:v>
                </c:pt>
                <c:pt idx="3">
                  <c:v>163100</c:v>
                </c:pt>
                <c:pt idx="4">
                  <c:v>176800</c:v>
                </c:pt>
                <c:pt idx="5">
                  <c:v>189340</c:v>
                </c:pt>
                <c:pt idx="6">
                  <c:v>167200</c:v>
                </c:pt>
                <c:pt idx="7">
                  <c:v>152930</c:v>
                </c:pt>
                <c:pt idx="8">
                  <c:v>147300</c:v>
                </c:pt>
                <c:pt idx="9">
                  <c:v>162620</c:v>
                </c:pt>
                <c:pt idx="10">
                  <c:v>156360</c:v>
                </c:pt>
                <c:pt idx="11">
                  <c:v>153820</c:v>
                </c:pt>
                <c:pt idx="12">
                  <c:v>131590</c:v>
                </c:pt>
                <c:pt idx="13">
                  <c:v>115090</c:v>
                </c:pt>
                <c:pt idx="14">
                  <c:v>92970</c:v>
                </c:pt>
                <c:pt idx="15">
                  <c:v>63810</c:v>
                </c:pt>
                <c:pt idx="16">
                  <c:v>39130</c:v>
                </c:pt>
                <c:pt idx="17">
                  <c:v>22170</c:v>
                </c:pt>
                <c:pt idx="18">
                  <c:v>10000</c:v>
                </c:pt>
              </c:numCache>
            </c:numRef>
          </c:val>
          <c:extLst>
            <c:ext xmlns:c16="http://schemas.microsoft.com/office/drawing/2014/chart" uri="{C3380CC4-5D6E-409C-BE32-E72D297353CC}">
              <c16:uniqueId val="{00000000-8276-4269-84E5-723F3A7170DF}"/>
            </c:ext>
          </c:extLst>
        </c:ser>
        <c:ser>
          <c:idx val="1"/>
          <c:order val="1"/>
          <c:tx>
            <c:v>Female</c:v>
          </c:tx>
          <c:spPr>
            <a:solidFill>
              <a:schemeClr val="accent2"/>
            </a:solidFill>
            <a:ln>
              <a:solidFill>
                <a:schemeClr val="tx1"/>
              </a:solidFill>
            </a:ln>
            <a:effectLst/>
          </c:spPr>
          <c:invertIfNegative val="0"/>
          <c:cat>
            <c:strRef>
              <c:f>'[7a367bba-3bcc-41d7-962d-647f329b0af4.xls]NZ.Stat export'!$B$168:$B$186</c:f>
              <c:strCache>
                <c:ptCount val="19"/>
                <c:pt idx="0">
                  <c:v>  0-4 years</c:v>
                </c:pt>
                <c:pt idx="1">
                  <c:v>  5-9 years</c:v>
                </c:pt>
                <c:pt idx="2">
                  <c:v>  10-14 years</c:v>
                </c:pt>
                <c:pt idx="3">
                  <c:v>  15-19 years</c:v>
                </c:pt>
                <c:pt idx="4">
                  <c:v>  20-24 years</c:v>
                </c:pt>
                <c:pt idx="5">
                  <c:v>  25-29 years</c:v>
                </c:pt>
                <c:pt idx="6">
                  <c:v>  30-34 years</c:v>
                </c:pt>
                <c:pt idx="7">
                  <c:v>  35-39 years</c:v>
                </c:pt>
                <c:pt idx="8">
                  <c:v>  40-44 years</c:v>
                </c:pt>
                <c:pt idx="9">
                  <c:v>  45-49 years</c:v>
                </c:pt>
                <c:pt idx="10">
                  <c:v>  50-54 years</c:v>
                </c:pt>
                <c:pt idx="11">
                  <c:v>  55-59 years</c:v>
                </c:pt>
                <c:pt idx="12">
                  <c:v>  60-64 years</c:v>
                </c:pt>
                <c:pt idx="13">
                  <c:v>  65-69 years</c:v>
                </c:pt>
                <c:pt idx="14">
                  <c:v>  70-74 years</c:v>
                </c:pt>
                <c:pt idx="15">
                  <c:v>  75-79 years</c:v>
                </c:pt>
                <c:pt idx="16">
                  <c:v>  80-84 years</c:v>
                </c:pt>
                <c:pt idx="17">
                  <c:v>  85-89 years</c:v>
                </c:pt>
                <c:pt idx="18">
                  <c:v>  90 years and over</c:v>
                </c:pt>
              </c:strCache>
            </c:strRef>
          </c:cat>
          <c:val>
            <c:numRef>
              <c:f>'[7a367bba-3bcc-41d7-962d-647f329b0af4.xls]NZ.Stat export'!$G$168:$G$186</c:f>
              <c:numCache>
                <c:formatCode>General</c:formatCode>
                <c:ptCount val="19"/>
                <c:pt idx="0">
                  <c:v>-148210</c:v>
                </c:pt>
                <c:pt idx="1">
                  <c:v>-159480</c:v>
                </c:pt>
                <c:pt idx="2">
                  <c:v>-152830</c:v>
                </c:pt>
                <c:pt idx="3">
                  <c:v>-154250</c:v>
                </c:pt>
                <c:pt idx="4">
                  <c:v>-163280</c:v>
                </c:pt>
                <c:pt idx="5">
                  <c:v>-181850</c:v>
                </c:pt>
                <c:pt idx="6">
                  <c:v>-171030</c:v>
                </c:pt>
                <c:pt idx="7">
                  <c:v>-157140</c:v>
                </c:pt>
                <c:pt idx="8">
                  <c:v>-153880</c:v>
                </c:pt>
                <c:pt idx="9">
                  <c:v>-170960</c:v>
                </c:pt>
                <c:pt idx="10">
                  <c:v>-163820</c:v>
                </c:pt>
                <c:pt idx="11">
                  <c:v>-162610</c:v>
                </c:pt>
                <c:pt idx="12">
                  <c:v>-139350</c:v>
                </c:pt>
                <c:pt idx="13">
                  <c:v>-120000</c:v>
                </c:pt>
                <c:pt idx="14">
                  <c:v>-98690</c:v>
                </c:pt>
                <c:pt idx="15">
                  <c:v>-72070</c:v>
                </c:pt>
                <c:pt idx="16">
                  <c:v>-48210</c:v>
                </c:pt>
                <c:pt idx="17">
                  <c:v>-32100</c:v>
                </c:pt>
                <c:pt idx="18">
                  <c:v>-20680</c:v>
                </c:pt>
              </c:numCache>
            </c:numRef>
          </c:val>
          <c:extLst>
            <c:ext xmlns:c16="http://schemas.microsoft.com/office/drawing/2014/chart" uri="{C3380CC4-5D6E-409C-BE32-E72D297353CC}">
              <c16:uniqueId val="{00000001-8276-4269-84E5-723F3A7170DF}"/>
            </c:ext>
          </c:extLst>
        </c:ser>
        <c:dLbls>
          <c:showLegendKey val="0"/>
          <c:showVal val="0"/>
          <c:showCatName val="0"/>
          <c:showSerName val="0"/>
          <c:showPercent val="0"/>
          <c:showBubbleSize val="0"/>
        </c:dLbls>
        <c:gapWidth val="0"/>
        <c:overlap val="100"/>
        <c:axId val="590912312"/>
        <c:axId val="590907720"/>
      </c:barChart>
      <c:catAx>
        <c:axId val="590912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907720"/>
        <c:crosses val="autoZero"/>
        <c:auto val="1"/>
        <c:lblAlgn val="ctr"/>
        <c:lblOffset val="100"/>
        <c:noMultiLvlLbl val="0"/>
      </c:catAx>
      <c:valAx>
        <c:axId val="5909077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912312"/>
        <c:crosses val="autoZero"/>
        <c:crossBetween val="between"/>
        <c:dispUnits>
          <c:builtInUnit val="thousands"/>
          <c:dispUnitsLbl>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Pacific - 2018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Male</c:v>
          </c:tx>
          <c:spPr>
            <a:solidFill>
              <a:schemeClr val="accent1"/>
            </a:solidFill>
            <a:ln>
              <a:solidFill>
                <a:schemeClr val="tx1"/>
              </a:solidFill>
            </a:ln>
            <a:effectLst/>
          </c:spPr>
          <c:invertIfNegative val="0"/>
          <c:cat>
            <c:strRef>
              <c:f>'[7a367bba-3bcc-41d7-962d-647f329b0af4.xls]NZ.Stat export'!$B$68:$B$86</c:f>
              <c:strCache>
                <c:ptCount val="19"/>
                <c:pt idx="0">
                  <c:v>  0-4 years</c:v>
                </c:pt>
                <c:pt idx="1">
                  <c:v>  5-9 years</c:v>
                </c:pt>
                <c:pt idx="2">
                  <c:v>  10-14 years</c:v>
                </c:pt>
                <c:pt idx="3">
                  <c:v>  15-19 years</c:v>
                </c:pt>
                <c:pt idx="4">
                  <c:v>  20-24 years</c:v>
                </c:pt>
                <c:pt idx="5">
                  <c:v>  25-29 years</c:v>
                </c:pt>
                <c:pt idx="6">
                  <c:v>  30-34 years</c:v>
                </c:pt>
                <c:pt idx="7">
                  <c:v>  35-39 years</c:v>
                </c:pt>
                <c:pt idx="8">
                  <c:v>  40-44 years</c:v>
                </c:pt>
                <c:pt idx="9">
                  <c:v>  45-49 years</c:v>
                </c:pt>
                <c:pt idx="10">
                  <c:v>  50-54 years</c:v>
                </c:pt>
                <c:pt idx="11">
                  <c:v>  55-59 years</c:v>
                </c:pt>
                <c:pt idx="12">
                  <c:v>  60-64 years</c:v>
                </c:pt>
                <c:pt idx="13">
                  <c:v>  65-69 years</c:v>
                </c:pt>
                <c:pt idx="14">
                  <c:v>  70-74 years</c:v>
                </c:pt>
                <c:pt idx="15">
                  <c:v>  75-79 years</c:v>
                </c:pt>
                <c:pt idx="16">
                  <c:v>  80-84 years</c:v>
                </c:pt>
                <c:pt idx="17">
                  <c:v>  85-89 years</c:v>
                </c:pt>
                <c:pt idx="18">
                  <c:v>  90 years and over</c:v>
                </c:pt>
              </c:strCache>
            </c:strRef>
          </c:cat>
          <c:val>
            <c:numRef>
              <c:f>'[7a367bba-3bcc-41d7-962d-647f329b0af4.xls]NZ.Stat export'!$E$68:$E$86</c:f>
              <c:numCache>
                <c:formatCode>General</c:formatCode>
                <c:ptCount val="19"/>
                <c:pt idx="0">
                  <c:v>23000</c:v>
                </c:pt>
                <c:pt idx="1">
                  <c:v>24200</c:v>
                </c:pt>
                <c:pt idx="2">
                  <c:v>21700</c:v>
                </c:pt>
                <c:pt idx="3">
                  <c:v>20900</c:v>
                </c:pt>
                <c:pt idx="4">
                  <c:v>19300</c:v>
                </c:pt>
                <c:pt idx="5">
                  <c:v>17000</c:v>
                </c:pt>
                <c:pt idx="6">
                  <c:v>13200</c:v>
                </c:pt>
                <c:pt idx="7">
                  <c:v>11700</c:v>
                </c:pt>
                <c:pt idx="8">
                  <c:v>11000</c:v>
                </c:pt>
                <c:pt idx="9">
                  <c:v>10900</c:v>
                </c:pt>
                <c:pt idx="10">
                  <c:v>9800</c:v>
                </c:pt>
                <c:pt idx="11">
                  <c:v>7500</c:v>
                </c:pt>
                <c:pt idx="12">
                  <c:v>5700</c:v>
                </c:pt>
                <c:pt idx="13">
                  <c:v>4300</c:v>
                </c:pt>
                <c:pt idx="14">
                  <c:v>2700</c:v>
                </c:pt>
                <c:pt idx="15">
                  <c:v>1700</c:v>
                </c:pt>
                <c:pt idx="16">
                  <c:v>800</c:v>
                </c:pt>
                <c:pt idx="17">
                  <c:v>300</c:v>
                </c:pt>
                <c:pt idx="18">
                  <c:v>100</c:v>
                </c:pt>
              </c:numCache>
            </c:numRef>
          </c:val>
          <c:extLst>
            <c:ext xmlns:c16="http://schemas.microsoft.com/office/drawing/2014/chart" uri="{C3380CC4-5D6E-409C-BE32-E72D297353CC}">
              <c16:uniqueId val="{00000000-D529-41C2-B1EC-1CD8E0EFA166}"/>
            </c:ext>
          </c:extLst>
        </c:ser>
        <c:ser>
          <c:idx val="1"/>
          <c:order val="1"/>
          <c:tx>
            <c:v>Female</c:v>
          </c:tx>
          <c:spPr>
            <a:solidFill>
              <a:schemeClr val="accent2"/>
            </a:solidFill>
            <a:ln>
              <a:solidFill>
                <a:sysClr val="windowText" lastClr="000000">
                  <a:lumMod val="100000"/>
                </a:sysClr>
              </a:solidFill>
            </a:ln>
            <a:effectLst/>
          </c:spPr>
          <c:invertIfNegative val="0"/>
          <c:cat>
            <c:strRef>
              <c:f>'[7a367bba-3bcc-41d7-962d-647f329b0af4.xls]NZ.Stat export'!$B$68:$B$86</c:f>
              <c:strCache>
                <c:ptCount val="19"/>
                <c:pt idx="0">
                  <c:v>  0-4 years</c:v>
                </c:pt>
                <c:pt idx="1">
                  <c:v>  5-9 years</c:v>
                </c:pt>
                <c:pt idx="2">
                  <c:v>  10-14 years</c:v>
                </c:pt>
                <c:pt idx="3">
                  <c:v>  15-19 years</c:v>
                </c:pt>
                <c:pt idx="4">
                  <c:v>  20-24 years</c:v>
                </c:pt>
                <c:pt idx="5">
                  <c:v>  25-29 years</c:v>
                </c:pt>
                <c:pt idx="6">
                  <c:v>  30-34 years</c:v>
                </c:pt>
                <c:pt idx="7">
                  <c:v>  35-39 years</c:v>
                </c:pt>
                <c:pt idx="8">
                  <c:v>  40-44 years</c:v>
                </c:pt>
                <c:pt idx="9">
                  <c:v>  45-49 years</c:v>
                </c:pt>
                <c:pt idx="10">
                  <c:v>  50-54 years</c:v>
                </c:pt>
                <c:pt idx="11">
                  <c:v>  55-59 years</c:v>
                </c:pt>
                <c:pt idx="12">
                  <c:v>  60-64 years</c:v>
                </c:pt>
                <c:pt idx="13">
                  <c:v>  65-69 years</c:v>
                </c:pt>
                <c:pt idx="14">
                  <c:v>  70-74 years</c:v>
                </c:pt>
                <c:pt idx="15">
                  <c:v>  75-79 years</c:v>
                </c:pt>
                <c:pt idx="16">
                  <c:v>  80-84 years</c:v>
                </c:pt>
                <c:pt idx="17">
                  <c:v>  85-89 years</c:v>
                </c:pt>
                <c:pt idx="18">
                  <c:v>  90 years and over</c:v>
                </c:pt>
              </c:strCache>
            </c:strRef>
          </c:cat>
          <c:val>
            <c:numRef>
              <c:f>'[7a367bba-3bcc-41d7-962d-647f329b0af4.xls]NZ.Stat export'!$G$68:$G$86</c:f>
              <c:numCache>
                <c:formatCode>General</c:formatCode>
                <c:ptCount val="19"/>
                <c:pt idx="0">
                  <c:v>-21500</c:v>
                </c:pt>
                <c:pt idx="1">
                  <c:v>-22700</c:v>
                </c:pt>
                <c:pt idx="2">
                  <c:v>-20500</c:v>
                </c:pt>
                <c:pt idx="3">
                  <c:v>-20200</c:v>
                </c:pt>
                <c:pt idx="4">
                  <c:v>-19000</c:v>
                </c:pt>
                <c:pt idx="5">
                  <c:v>-16700</c:v>
                </c:pt>
                <c:pt idx="6">
                  <c:v>-12800</c:v>
                </c:pt>
                <c:pt idx="7">
                  <c:v>-11400</c:v>
                </c:pt>
                <c:pt idx="8">
                  <c:v>-10900</c:v>
                </c:pt>
                <c:pt idx="9">
                  <c:v>-10600</c:v>
                </c:pt>
                <c:pt idx="10">
                  <c:v>-10100</c:v>
                </c:pt>
                <c:pt idx="11">
                  <c:v>-7900</c:v>
                </c:pt>
                <c:pt idx="12">
                  <c:v>-5800</c:v>
                </c:pt>
                <c:pt idx="13">
                  <c:v>-4400</c:v>
                </c:pt>
                <c:pt idx="14">
                  <c:v>-3100</c:v>
                </c:pt>
                <c:pt idx="15">
                  <c:v>-2100</c:v>
                </c:pt>
                <c:pt idx="16">
                  <c:v>-1200</c:v>
                </c:pt>
                <c:pt idx="17">
                  <c:v>-600</c:v>
                </c:pt>
                <c:pt idx="18">
                  <c:v>-300</c:v>
                </c:pt>
              </c:numCache>
            </c:numRef>
          </c:val>
          <c:extLst>
            <c:ext xmlns:c16="http://schemas.microsoft.com/office/drawing/2014/chart" uri="{C3380CC4-5D6E-409C-BE32-E72D297353CC}">
              <c16:uniqueId val="{00000001-D529-41C2-B1EC-1CD8E0EFA166}"/>
            </c:ext>
          </c:extLst>
        </c:ser>
        <c:dLbls>
          <c:showLegendKey val="0"/>
          <c:showVal val="0"/>
          <c:showCatName val="0"/>
          <c:showSerName val="0"/>
          <c:showPercent val="0"/>
          <c:showBubbleSize val="0"/>
        </c:dLbls>
        <c:gapWidth val="0"/>
        <c:overlap val="100"/>
        <c:axId val="598028672"/>
        <c:axId val="598035888"/>
      </c:barChart>
      <c:catAx>
        <c:axId val="59802867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8035888"/>
        <c:crosses val="autoZero"/>
        <c:auto val="1"/>
        <c:lblAlgn val="ctr"/>
        <c:lblOffset val="100"/>
        <c:noMultiLvlLbl val="0"/>
      </c:catAx>
      <c:valAx>
        <c:axId val="59803588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ysClr val="windowText" lastClr="000000">
                <a:lumMod val="100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8028672"/>
        <c:crosses val="autoZero"/>
        <c:crossBetween val="between"/>
        <c:dispUnits>
          <c:builtInUnit val="thousands"/>
          <c:dispUnitsLbl>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D6CC3-79F2-4190-812D-E107C6475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28</Pages>
  <Words>5755</Words>
  <Characters>32804</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Anderson</dc:creator>
  <cp:keywords/>
  <dc:description/>
  <cp:lastModifiedBy>Michelle Kynaston</cp:lastModifiedBy>
  <cp:revision>6</cp:revision>
  <dcterms:created xsi:type="dcterms:W3CDTF">2021-06-30T03:42:00Z</dcterms:created>
  <dcterms:modified xsi:type="dcterms:W3CDTF">2021-06-30T03:50:00Z</dcterms:modified>
</cp:coreProperties>
</file>